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utoSpaceDN w:val="0"/>
        <w:jc w:val="center"/>
        <w:rPr>
          <w:rFonts w:ascii="宋体" w:hAnsi="宋体"/>
          <w:b/>
          <w:color w:val="auto"/>
          <w:sz w:val="44"/>
          <w:szCs w:val="32"/>
        </w:rPr>
      </w:pPr>
      <w:r>
        <w:rPr>
          <w:rFonts w:hint="eastAsia" w:ascii="宋体" w:hAnsi="宋体"/>
          <w:b/>
          <w:color w:val="auto"/>
          <w:sz w:val="44"/>
          <w:szCs w:val="32"/>
          <w:lang w:eastAsia="zh-CN"/>
        </w:rPr>
        <w:t>宁夏药品</w:t>
      </w:r>
      <w:r>
        <w:rPr>
          <w:rFonts w:hint="eastAsia" w:ascii="宋体" w:hAnsi="宋体"/>
          <w:b/>
          <w:color w:val="auto"/>
          <w:sz w:val="44"/>
          <w:szCs w:val="32"/>
        </w:rPr>
        <w:t>行政处罚案卷评查标准</w:t>
      </w:r>
    </w:p>
    <w:tbl>
      <w:tblPr>
        <w:tblStyle w:val="5"/>
        <w:tblW w:w="1486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548"/>
        <w:gridCol w:w="6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blHeader/>
          <w:jc w:val="center"/>
        </w:trPr>
        <w:tc>
          <w:tcPr>
            <w:tcW w:w="708" w:type="dxa"/>
            <w:tcBorders>
              <w:top w:val="single" w:color="auto" w:sz="4" w:space="0"/>
              <w:left w:val="single" w:color="auto" w:sz="4" w:space="0"/>
              <w:bottom w:val="single" w:color="auto" w:sz="4" w:space="0"/>
              <w:right w:val="single" w:color="auto" w:sz="4" w:space="0"/>
            </w:tcBorders>
            <w:vAlign w:val="center"/>
          </w:tcPr>
          <w:p>
            <w:pPr>
              <w:pStyle w:val="6"/>
              <w:spacing w:beforeLines="0" w:afterLines="0" w:line="320" w:lineRule="exact"/>
              <w:jc w:val="center"/>
              <w:rPr>
                <w:rFonts w:ascii="宋体" w:hAnsi="宋体"/>
                <w:b/>
                <w:bCs/>
                <w:color w:val="auto"/>
                <w:szCs w:val="21"/>
              </w:rPr>
            </w:pPr>
            <w:r>
              <w:rPr>
                <w:rFonts w:hint="eastAsia" w:ascii="宋体" w:hAnsi="宋体"/>
                <w:b/>
                <w:bCs/>
                <w:color w:val="auto"/>
                <w:szCs w:val="21"/>
              </w:rPr>
              <w:t>评查项目</w:t>
            </w:r>
          </w:p>
        </w:tc>
        <w:tc>
          <w:tcPr>
            <w:tcW w:w="7548" w:type="dxa"/>
            <w:tcBorders>
              <w:top w:val="single" w:color="auto" w:sz="4" w:space="0"/>
              <w:left w:val="single" w:color="auto" w:sz="4" w:space="0"/>
              <w:bottom w:val="single" w:color="auto" w:sz="4" w:space="0"/>
              <w:right w:val="single" w:color="auto" w:sz="4" w:space="0"/>
            </w:tcBorders>
            <w:vAlign w:val="center"/>
          </w:tcPr>
          <w:p>
            <w:pPr>
              <w:pStyle w:val="6"/>
              <w:spacing w:beforeLines="0" w:afterLines="0" w:line="320" w:lineRule="exact"/>
              <w:jc w:val="center"/>
              <w:rPr>
                <w:rFonts w:ascii="宋体" w:hAnsi="宋体"/>
                <w:b/>
                <w:bCs/>
                <w:color w:val="auto"/>
                <w:sz w:val="24"/>
                <w:szCs w:val="24"/>
              </w:rPr>
            </w:pPr>
            <w:r>
              <w:rPr>
                <w:rFonts w:hint="eastAsia" w:ascii="宋体" w:hAnsi="宋体"/>
                <w:b/>
                <w:bCs/>
                <w:color w:val="auto"/>
                <w:sz w:val="24"/>
                <w:szCs w:val="24"/>
              </w:rPr>
              <w:t>评查内容及要求</w:t>
            </w:r>
          </w:p>
        </w:tc>
        <w:tc>
          <w:tcPr>
            <w:tcW w:w="6604" w:type="dxa"/>
            <w:tcBorders>
              <w:top w:val="single" w:color="auto" w:sz="4" w:space="0"/>
              <w:left w:val="single" w:color="auto" w:sz="4" w:space="0"/>
              <w:bottom w:val="single" w:color="auto" w:sz="4" w:space="0"/>
              <w:right w:val="single" w:color="auto" w:sz="4" w:space="0"/>
            </w:tcBorders>
            <w:vAlign w:val="center"/>
          </w:tcPr>
          <w:p>
            <w:pPr>
              <w:pStyle w:val="6"/>
              <w:spacing w:beforeLines="0" w:afterLines="0" w:line="320" w:lineRule="exact"/>
              <w:jc w:val="center"/>
              <w:rPr>
                <w:rFonts w:ascii="宋体" w:hAnsi="宋体"/>
                <w:b/>
                <w:bCs/>
                <w:color w:val="auto"/>
                <w:szCs w:val="21"/>
              </w:rPr>
            </w:pPr>
            <w:r>
              <w:rPr>
                <w:rFonts w:hint="eastAsia" w:ascii="宋体" w:hAnsi="宋体"/>
                <w:b/>
                <w:bCs/>
                <w:color w:val="auto"/>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pStyle w:val="6"/>
              <w:spacing w:beforeLines="0" w:afterLines="0" w:line="320" w:lineRule="exact"/>
              <w:jc w:val="center"/>
              <w:rPr>
                <w:rFonts w:hint="eastAsia" w:ascii="宋体" w:hAnsi="宋体" w:eastAsia="宋体"/>
                <w:b/>
                <w:bCs/>
                <w:color w:val="auto"/>
                <w:szCs w:val="21"/>
                <w:lang w:eastAsia="zh-CN"/>
              </w:rPr>
            </w:pPr>
            <w:r>
              <w:rPr>
                <w:rFonts w:hint="eastAsia" w:ascii="宋体" w:hAnsi="宋体"/>
                <w:b/>
                <w:bCs/>
                <w:color w:val="auto"/>
                <w:szCs w:val="21"/>
                <w:lang w:eastAsia="zh-CN"/>
              </w:rPr>
              <w:t>程序规范</w:t>
            </w:r>
          </w:p>
        </w:tc>
        <w:tc>
          <w:tcPr>
            <w:tcW w:w="7548" w:type="dxa"/>
            <w:tcBorders>
              <w:top w:val="single" w:color="auto" w:sz="4" w:space="0"/>
              <w:left w:val="single" w:color="auto" w:sz="4" w:space="0"/>
              <w:bottom w:val="single" w:color="auto" w:sz="4" w:space="0"/>
              <w:right w:val="single" w:color="auto" w:sz="4" w:space="0"/>
            </w:tcBorders>
            <w:vAlign w:val="top"/>
          </w:tcPr>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1.办理行政处罚案件，应当符合立案、调查取证、审</w:t>
            </w:r>
            <w:r>
              <w:rPr>
                <w:rFonts w:hint="eastAsia" w:ascii="仿宋_GB2312" w:hAnsi="宋体" w:eastAsia="仿宋_GB2312"/>
                <w:color w:val="auto"/>
                <w:szCs w:val="21"/>
                <w:lang w:eastAsia="zh-CN"/>
              </w:rPr>
              <w:t>核</w:t>
            </w:r>
            <w:r>
              <w:rPr>
                <w:rFonts w:hint="eastAsia" w:ascii="仿宋_GB2312" w:hAnsi="宋体" w:eastAsia="仿宋_GB2312"/>
                <w:color w:val="auto"/>
                <w:szCs w:val="21"/>
              </w:rPr>
              <w:t>、告知、决定、送达、执行等基本步骤和流程，执法程序规范。</w:t>
            </w: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2.对投诉举报的案件，应当按规定权限、程序和时限办理受理手续。</w:t>
            </w: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3.进行案件调查或者检查时，执法人员应出示执法证件，且不得少于2人。</w:t>
            </w: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4.符合立案条件的案件应当填写《立案申请表》。</w:t>
            </w: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5.先行登记保存证据、查封扣押物品应在法制期限内依法作出处理，依法应当解除登记保存或强制措施的，应当及时解除，返还物品。</w:t>
            </w: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6.对已有证据证明有违法行为的当事人，应当下达责令改正通知，责令其改正或限期改正违法行为。</w:t>
            </w: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7.调查取证阶段结束后，承办人应当写出案件调查终结报告</w:t>
            </w:r>
            <w:r>
              <w:rPr>
                <w:rFonts w:hint="eastAsia" w:ascii="仿宋_GB2312" w:hAnsi="宋体" w:eastAsia="仿宋_GB2312"/>
                <w:color w:val="auto"/>
                <w:szCs w:val="21"/>
                <w:lang w:eastAsia="zh-CN"/>
              </w:rPr>
              <w:t>，</w:t>
            </w:r>
            <w:r>
              <w:rPr>
                <w:rFonts w:hint="eastAsia" w:ascii="仿宋_GB2312" w:hAnsi="宋体" w:eastAsia="仿宋_GB2312"/>
                <w:color w:val="auto"/>
                <w:szCs w:val="21"/>
              </w:rPr>
              <w:t>阐明案件的基本事实、违法情形、证据材料、法律依据、处理意见等。</w:t>
            </w: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8.进行案件合议应组织3人以上有关人员对违法行为的事实、性质、情节、危害程度及办案程序等进行讨论，并提出处理建议。</w:t>
            </w:r>
          </w:p>
          <w:p>
            <w:pPr>
              <w:pStyle w:val="6"/>
              <w:spacing w:beforeLines="0" w:afterLines="0" w:line="380" w:lineRule="exact"/>
              <w:ind w:firstLine="420" w:firstLineChars="200"/>
              <w:rPr>
                <w:rFonts w:hint="eastAsia" w:ascii="仿宋_GB2312" w:hAnsi="宋体" w:eastAsia="仿宋_GB2312"/>
                <w:color w:val="auto"/>
                <w:szCs w:val="21"/>
                <w:lang w:val="en-US" w:eastAsia="zh-CN"/>
              </w:rPr>
            </w:pPr>
            <w:r>
              <w:rPr>
                <w:rFonts w:hint="eastAsia" w:ascii="仿宋_GB2312" w:hAnsi="宋体" w:eastAsia="仿宋_GB2312"/>
                <w:color w:val="auto"/>
                <w:szCs w:val="21"/>
              </w:rPr>
              <w:t>9.</w:t>
            </w:r>
            <w:r>
              <w:rPr>
                <w:rFonts w:hint="eastAsia" w:ascii="仿宋_GB2312" w:hAnsi="宋体" w:eastAsia="仿宋_GB2312"/>
                <w:color w:val="auto"/>
                <w:szCs w:val="21"/>
                <w:lang w:val="en-US" w:eastAsia="zh-CN"/>
              </w:rPr>
              <w:t>案件调查终结，办案机构应当撰写调查终结报告，连同案件材料交由审核机构审核。</w:t>
            </w: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10.依法应当移送司法机关或其他行政机关处理的案件，应当及时移送并有移送记录。</w:t>
            </w:r>
          </w:p>
          <w:p>
            <w:pPr>
              <w:pStyle w:val="6"/>
              <w:spacing w:beforeLines="0" w:afterLines="0" w:line="38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lang w:val="en-US" w:eastAsia="zh-CN"/>
              </w:rPr>
              <w:t>11.</w:t>
            </w:r>
            <w:r>
              <w:rPr>
                <w:rFonts w:hint="eastAsia" w:ascii="仿宋_GB2312" w:hAnsi="宋体" w:eastAsia="仿宋_GB2312"/>
                <w:color w:val="auto"/>
                <w:szCs w:val="21"/>
              </w:rPr>
              <w:t>应当给予行政处罚的，由承办人制作行政处罚审批表。</w:t>
            </w: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lang w:val="en-US" w:eastAsia="zh-CN"/>
              </w:rPr>
              <w:t>12.</w:t>
            </w:r>
            <w:r>
              <w:rPr>
                <w:rFonts w:hint="eastAsia" w:ascii="仿宋_GB2312" w:hAnsi="宋体" w:eastAsia="仿宋_GB2312"/>
                <w:color w:val="auto"/>
                <w:szCs w:val="21"/>
              </w:rPr>
              <w:t>对情节复杂或者重大违法行为给予较重行政处罚的案件，行政机关或承办单位负责人应当集体讨论决定。</w:t>
            </w:r>
          </w:p>
          <w:p>
            <w:pPr>
              <w:pStyle w:val="6"/>
              <w:spacing w:beforeLines="0" w:afterLines="0" w:line="380" w:lineRule="exact"/>
              <w:ind w:firstLine="420" w:firstLineChars="200"/>
              <w:rPr>
                <w:rFonts w:hint="eastAsia" w:ascii="仿宋_GB2312" w:hAnsi="宋体" w:eastAsia="仿宋_GB2312"/>
                <w:color w:val="auto"/>
                <w:szCs w:val="21"/>
              </w:rPr>
            </w:pP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lang w:val="en-US" w:eastAsia="zh-CN"/>
              </w:rPr>
              <w:t>13.</w:t>
            </w:r>
            <w:r>
              <w:rPr>
                <w:rFonts w:hint="eastAsia" w:ascii="仿宋_GB2312" w:hAnsi="宋体" w:eastAsia="仿宋_GB2312"/>
                <w:color w:val="auto"/>
                <w:szCs w:val="21"/>
              </w:rPr>
              <w:t>作出行政处罚决定前必须明确告知当事人违法事实、处罚的理由和依据以及当事人依法享有陈述、申辩权利等事项。</w:t>
            </w: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w:t>
            </w:r>
            <w:r>
              <w:rPr>
                <w:rFonts w:hint="eastAsia" w:ascii="仿宋_GB2312" w:hAnsi="宋体" w:eastAsia="仿宋_GB2312"/>
                <w:color w:val="auto"/>
                <w:szCs w:val="21"/>
                <w:lang w:val="en-US" w:eastAsia="zh-CN"/>
              </w:rPr>
              <w:t>4</w:t>
            </w:r>
            <w:r>
              <w:rPr>
                <w:rFonts w:hint="eastAsia" w:ascii="仿宋_GB2312" w:hAnsi="宋体" w:eastAsia="仿宋_GB2312"/>
                <w:color w:val="auto"/>
                <w:szCs w:val="21"/>
              </w:rPr>
              <w:t>.作出责令停产停业、吊销许可证或较大数额罚款等行政处罚前，还应当告知当事人有要求举行听证的权利。</w:t>
            </w: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w:t>
            </w:r>
            <w:r>
              <w:rPr>
                <w:rFonts w:hint="eastAsia" w:ascii="仿宋_GB2312" w:hAnsi="宋体" w:eastAsia="仿宋_GB2312"/>
                <w:color w:val="auto"/>
                <w:szCs w:val="21"/>
                <w:lang w:val="en-US" w:eastAsia="zh-CN"/>
              </w:rPr>
              <w:t>5</w:t>
            </w:r>
            <w:r>
              <w:rPr>
                <w:rFonts w:hint="eastAsia" w:ascii="仿宋_GB2312" w:hAnsi="宋体" w:eastAsia="仿宋_GB2312"/>
                <w:color w:val="auto"/>
                <w:szCs w:val="21"/>
              </w:rPr>
              <w:t>.作出的行政处罚决定，应当制作行政处罚决定书。</w:t>
            </w: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w:t>
            </w:r>
            <w:r>
              <w:rPr>
                <w:rFonts w:hint="eastAsia" w:ascii="仿宋_GB2312" w:hAnsi="宋体" w:eastAsia="仿宋_GB2312"/>
                <w:color w:val="auto"/>
                <w:szCs w:val="21"/>
                <w:lang w:val="en-US" w:eastAsia="zh-CN"/>
              </w:rPr>
              <w:t>6</w:t>
            </w:r>
            <w:r>
              <w:rPr>
                <w:rFonts w:hint="eastAsia" w:ascii="仿宋_GB2312" w:hAnsi="宋体" w:eastAsia="仿宋_GB2312"/>
                <w:color w:val="auto"/>
                <w:szCs w:val="21"/>
              </w:rPr>
              <w:t>.行政处罚内容含没收有关物品的，应当附没收物品凭证。</w:t>
            </w: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w:t>
            </w:r>
            <w:r>
              <w:rPr>
                <w:rFonts w:hint="eastAsia" w:ascii="仿宋_GB2312" w:hAnsi="宋体" w:eastAsia="仿宋_GB2312"/>
                <w:color w:val="auto"/>
                <w:szCs w:val="21"/>
                <w:lang w:val="en-US" w:eastAsia="zh-CN"/>
              </w:rPr>
              <w:t>7</w:t>
            </w:r>
            <w:r>
              <w:rPr>
                <w:rFonts w:hint="eastAsia" w:ascii="仿宋_GB2312" w:hAnsi="宋体" w:eastAsia="仿宋_GB2312"/>
                <w:color w:val="auto"/>
                <w:szCs w:val="21"/>
              </w:rPr>
              <w:t>.行政处罚决定等执法文书的送达应符合法定程序并有送达回执。</w:t>
            </w: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w:t>
            </w:r>
            <w:r>
              <w:rPr>
                <w:rFonts w:hint="eastAsia" w:ascii="仿宋_GB2312" w:hAnsi="宋体" w:eastAsia="仿宋_GB2312"/>
                <w:color w:val="auto"/>
                <w:szCs w:val="21"/>
                <w:lang w:val="en-US" w:eastAsia="zh-CN"/>
              </w:rPr>
              <w:t>8</w:t>
            </w:r>
            <w:r>
              <w:rPr>
                <w:rFonts w:hint="eastAsia" w:ascii="仿宋_GB2312" w:hAnsi="宋体" w:eastAsia="仿宋_GB2312"/>
                <w:color w:val="auto"/>
                <w:szCs w:val="21"/>
              </w:rPr>
              <w:t>.行政处罚决定书送达以后，应督促当事人在规定的期限内履行，拒不履行的，应在规定期限内依法申请人民法院强制执行。</w:t>
            </w:r>
          </w:p>
          <w:p>
            <w:pPr>
              <w:pStyle w:val="6"/>
              <w:spacing w:beforeLines="0" w:afterLines="0" w:line="38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1</w:t>
            </w:r>
            <w:r>
              <w:rPr>
                <w:rFonts w:hint="eastAsia" w:ascii="仿宋_GB2312" w:hAnsi="宋体" w:eastAsia="仿宋_GB2312"/>
                <w:color w:val="auto"/>
                <w:szCs w:val="21"/>
                <w:lang w:val="en-US" w:eastAsia="zh-CN"/>
              </w:rPr>
              <w:t>9</w:t>
            </w:r>
            <w:r>
              <w:rPr>
                <w:rFonts w:hint="eastAsia" w:ascii="仿宋_GB2312" w:hAnsi="宋体" w:eastAsia="仿宋_GB2312"/>
                <w:color w:val="auto"/>
                <w:szCs w:val="21"/>
              </w:rPr>
              <w:t>.对罚款处罚应落实罚缴分离制度，由当事人到指定银行缴纳罚款。</w:t>
            </w:r>
          </w:p>
        </w:tc>
        <w:tc>
          <w:tcPr>
            <w:tcW w:w="6604" w:type="dxa"/>
            <w:tcBorders>
              <w:top w:val="single" w:color="auto" w:sz="4" w:space="0"/>
              <w:left w:val="single" w:color="auto" w:sz="4" w:space="0"/>
              <w:bottom w:val="single" w:color="auto" w:sz="4" w:space="0"/>
              <w:right w:val="single" w:color="auto" w:sz="4" w:space="0"/>
            </w:tcBorders>
            <w:vAlign w:val="top"/>
          </w:tcPr>
          <w:p>
            <w:pPr>
              <w:pStyle w:val="6"/>
              <w:spacing w:beforeLines="0" w:afterLines="0" w:line="380" w:lineRule="exact"/>
              <w:ind w:firstLine="0" w:firstLineChars="0"/>
              <w:rPr>
                <w:rFonts w:hint="eastAsia" w:ascii="仿宋_GB2312" w:hAnsi="宋体" w:eastAsia="仿宋_GB2312"/>
                <w:color w:val="auto"/>
                <w:szCs w:val="21"/>
              </w:rPr>
            </w:pPr>
            <w:r>
              <w:rPr>
                <w:rFonts w:hint="eastAsia" w:ascii="仿宋_GB2312" w:hAnsi="宋体" w:eastAsia="仿宋_GB2312"/>
                <w:color w:val="auto"/>
                <w:szCs w:val="21"/>
              </w:rPr>
              <w:t xml:space="preserve">    1.</w:t>
            </w:r>
            <w:r>
              <w:rPr>
                <w:rFonts w:hint="eastAsia" w:ascii="仿宋_GB2312" w:hAnsi="宋体" w:eastAsia="仿宋_GB2312"/>
                <w:color w:val="auto"/>
                <w:szCs w:val="21"/>
                <w:lang w:eastAsia="zh-CN"/>
              </w:rPr>
              <w:t>行政处罚程序不合法的，直接判定为不合格案卷。</w:t>
            </w:r>
          </w:p>
          <w:p>
            <w:pPr>
              <w:pStyle w:val="6"/>
              <w:spacing w:beforeLines="0" w:afterLines="0" w:line="380" w:lineRule="exact"/>
              <w:ind w:firstLine="210" w:firstLineChars="100"/>
              <w:rPr>
                <w:rFonts w:ascii="仿宋_GB2312" w:hAnsi="宋体" w:eastAsia="仿宋_GB2312"/>
                <w:color w:val="auto"/>
                <w:szCs w:val="21"/>
              </w:rPr>
            </w:pPr>
            <w:r>
              <w:rPr>
                <w:rFonts w:hint="eastAsia" w:ascii="仿宋_GB2312" w:hAnsi="宋体" w:eastAsia="仿宋_GB2312"/>
                <w:color w:val="auto"/>
                <w:szCs w:val="21"/>
                <w:lang w:val="en-US" w:eastAsia="zh-CN"/>
              </w:rPr>
              <w:t xml:space="preserve">  2.</w:t>
            </w:r>
            <w:r>
              <w:rPr>
                <w:rFonts w:hint="eastAsia" w:ascii="仿宋_GB2312" w:hAnsi="宋体" w:eastAsia="仿宋_GB2312"/>
                <w:color w:val="auto"/>
                <w:szCs w:val="21"/>
              </w:rPr>
              <w:t>现场检查、调查取证时，执法人员少于2人的</w:t>
            </w:r>
            <w:r>
              <w:rPr>
                <w:rFonts w:hint="eastAsia" w:ascii="仿宋_GB2312" w:hAnsi="宋体" w:eastAsia="仿宋_GB2312"/>
                <w:color w:val="auto"/>
                <w:szCs w:val="21"/>
                <w:lang w:eastAsia="zh-CN"/>
              </w:rPr>
              <w:t>直接判定为不合格卷</w:t>
            </w:r>
            <w:r>
              <w:rPr>
                <w:rFonts w:hint="eastAsia" w:ascii="仿宋_GB2312" w:hAnsi="宋体" w:eastAsia="仿宋_GB2312"/>
                <w:color w:val="auto"/>
                <w:szCs w:val="21"/>
              </w:rPr>
              <w:t>。</w:t>
            </w:r>
          </w:p>
          <w:p>
            <w:pPr>
              <w:pStyle w:val="6"/>
              <w:tabs>
                <w:tab w:val="left" w:pos="463"/>
              </w:tabs>
              <w:spacing w:beforeLines="0" w:afterLines="0" w:line="380" w:lineRule="exact"/>
              <w:rPr>
                <w:rFonts w:ascii="仿宋_GB2312" w:hAnsi="宋体" w:eastAsia="仿宋_GB2312"/>
                <w:color w:val="auto"/>
                <w:szCs w:val="21"/>
              </w:rPr>
            </w:pPr>
            <w:r>
              <w:rPr>
                <w:rFonts w:hint="eastAsia" w:ascii="仿宋_GB2312" w:hAnsi="宋体" w:eastAsia="仿宋_GB2312"/>
                <w:color w:val="auto"/>
                <w:szCs w:val="21"/>
              </w:rPr>
              <w:t xml:space="preserve">    </w:t>
            </w:r>
            <w:r>
              <w:rPr>
                <w:rFonts w:hint="eastAsia" w:ascii="仿宋_GB2312" w:hAnsi="宋体" w:eastAsia="仿宋_GB2312"/>
                <w:color w:val="auto"/>
                <w:szCs w:val="21"/>
                <w:lang w:val="en-US" w:eastAsia="zh-CN"/>
              </w:rPr>
              <w:t>3</w:t>
            </w:r>
            <w:r>
              <w:rPr>
                <w:rFonts w:hint="eastAsia" w:ascii="仿宋_GB2312" w:hAnsi="宋体" w:eastAsia="仿宋_GB2312"/>
                <w:color w:val="auto"/>
                <w:szCs w:val="21"/>
              </w:rPr>
              <w:t>.作出行政处罚决定前，未告知当事人享有陈述、申辩或听证权利的扣1</w:t>
            </w:r>
            <w:r>
              <w:rPr>
                <w:rFonts w:hint="eastAsia" w:ascii="仿宋_GB2312" w:hAnsi="宋体" w:eastAsia="仿宋_GB2312"/>
                <w:color w:val="auto"/>
                <w:szCs w:val="21"/>
                <w:lang w:val="en-US" w:eastAsia="zh-CN"/>
              </w:rPr>
              <w:t>0</w:t>
            </w:r>
            <w:r>
              <w:rPr>
                <w:rFonts w:hint="eastAsia" w:ascii="仿宋_GB2312" w:hAnsi="宋体" w:eastAsia="仿宋_GB2312"/>
                <w:color w:val="auto"/>
                <w:szCs w:val="21"/>
              </w:rPr>
              <w:t>分；告知陈述、申辩或听证有效期限错误的扣</w:t>
            </w:r>
            <w:r>
              <w:rPr>
                <w:rFonts w:hint="eastAsia" w:ascii="仿宋_GB2312" w:hAnsi="宋体" w:eastAsia="仿宋_GB2312"/>
                <w:color w:val="auto"/>
                <w:szCs w:val="21"/>
                <w:lang w:val="en-US" w:eastAsia="zh-CN"/>
              </w:rPr>
              <w:t>3</w:t>
            </w:r>
            <w:r>
              <w:rPr>
                <w:rFonts w:hint="eastAsia" w:ascii="仿宋_GB2312" w:hAnsi="宋体" w:eastAsia="仿宋_GB2312"/>
                <w:color w:val="auto"/>
                <w:szCs w:val="21"/>
              </w:rPr>
              <w:t>分。</w:t>
            </w:r>
          </w:p>
          <w:p>
            <w:pPr>
              <w:pStyle w:val="6"/>
              <w:spacing w:beforeLines="0" w:afterLines="0" w:line="380" w:lineRule="exact"/>
              <w:ind w:left="429"/>
              <w:rPr>
                <w:rFonts w:ascii="仿宋_GB2312" w:hAnsi="宋体" w:eastAsia="仿宋_GB2312"/>
                <w:color w:val="auto"/>
                <w:szCs w:val="21"/>
              </w:rPr>
            </w:pPr>
            <w:r>
              <w:rPr>
                <w:rFonts w:hint="eastAsia" w:ascii="仿宋_GB2312" w:hAnsi="宋体" w:eastAsia="仿宋_GB2312"/>
                <w:color w:val="auto"/>
                <w:szCs w:val="21"/>
                <w:lang w:val="en-US" w:eastAsia="zh-CN"/>
              </w:rPr>
              <w:t>4</w:t>
            </w:r>
            <w:r>
              <w:rPr>
                <w:rFonts w:hint="eastAsia" w:ascii="仿宋_GB2312" w:hAnsi="宋体" w:eastAsia="仿宋_GB2312"/>
                <w:color w:val="auto"/>
                <w:szCs w:val="21"/>
              </w:rPr>
              <w:t>.依法应当移送的案件未移送的扣</w:t>
            </w:r>
            <w:r>
              <w:rPr>
                <w:rFonts w:hint="eastAsia" w:ascii="仿宋_GB2312" w:hAnsi="宋体" w:eastAsia="仿宋_GB2312"/>
                <w:color w:val="auto"/>
                <w:szCs w:val="21"/>
                <w:lang w:val="en-US" w:eastAsia="zh-CN"/>
              </w:rPr>
              <w:t>10</w:t>
            </w:r>
            <w:r>
              <w:rPr>
                <w:rFonts w:hint="eastAsia" w:ascii="仿宋_GB2312" w:hAnsi="宋体" w:eastAsia="仿宋_GB2312"/>
                <w:color w:val="auto"/>
                <w:szCs w:val="21"/>
              </w:rPr>
              <w:t>分。</w:t>
            </w:r>
          </w:p>
          <w:p>
            <w:pPr>
              <w:pStyle w:val="6"/>
              <w:spacing w:beforeLines="0" w:afterLines="0" w:line="380" w:lineRule="exact"/>
              <w:rPr>
                <w:rFonts w:ascii="仿宋_GB2312" w:hAnsi="宋体" w:eastAsia="仿宋_GB2312"/>
                <w:color w:val="auto"/>
                <w:szCs w:val="21"/>
              </w:rPr>
            </w:pPr>
            <w:r>
              <w:rPr>
                <w:rFonts w:hint="eastAsia" w:ascii="仿宋_GB2312" w:hAnsi="宋体" w:eastAsia="仿宋_GB2312"/>
                <w:color w:val="auto"/>
                <w:szCs w:val="21"/>
              </w:rPr>
              <w:t xml:space="preserve">    </w:t>
            </w:r>
            <w:r>
              <w:rPr>
                <w:rFonts w:hint="eastAsia" w:ascii="仿宋_GB2312" w:hAnsi="宋体" w:eastAsia="仿宋_GB2312"/>
                <w:color w:val="auto"/>
                <w:szCs w:val="21"/>
                <w:lang w:val="en-US" w:eastAsia="zh-CN"/>
              </w:rPr>
              <w:t>5</w:t>
            </w:r>
            <w:r>
              <w:rPr>
                <w:rFonts w:hint="eastAsia" w:ascii="仿宋_GB2312" w:hAnsi="宋体" w:eastAsia="仿宋_GB2312"/>
                <w:color w:val="auto"/>
                <w:szCs w:val="21"/>
              </w:rPr>
              <w:t>.采取先行登记保存或查封、扣押强制措施时，当事人或见证人未到场、未签字或拒绝签字未进行说明的扣</w:t>
            </w:r>
            <w:r>
              <w:rPr>
                <w:rFonts w:hint="eastAsia" w:ascii="仿宋_GB2312" w:hAnsi="宋体" w:eastAsia="仿宋_GB2312"/>
                <w:color w:val="auto"/>
                <w:szCs w:val="21"/>
                <w:lang w:val="en-US" w:eastAsia="zh-CN"/>
              </w:rPr>
              <w:t>3</w:t>
            </w:r>
            <w:r>
              <w:rPr>
                <w:rFonts w:hint="eastAsia" w:ascii="仿宋_GB2312" w:hAnsi="宋体" w:eastAsia="仿宋_GB2312"/>
                <w:color w:val="auto"/>
                <w:szCs w:val="21"/>
              </w:rPr>
              <w:t>分。</w:t>
            </w: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lang w:val="en-US" w:eastAsia="zh-CN"/>
              </w:rPr>
              <w:t>6</w:t>
            </w:r>
            <w:r>
              <w:rPr>
                <w:rFonts w:hint="eastAsia" w:ascii="仿宋_GB2312" w:hAnsi="宋体" w:eastAsia="仿宋_GB2312"/>
                <w:color w:val="auto"/>
                <w:szCs w:val="21"/>
              </w:rPr>
              <w:t>.采取的行政强制措施在现场检查笔录中未予记载的扣2分。</w:t>
            </w: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lang w:val="en-US" w:eastAsia="zh-CN"/>
              </w:rPr>
              <w:t>7</w:t>
            </w:r>
            <w:r>
              <w:rPr>
                <w:rFonts w:hint="eastAsia" w:ascii="仿宋_GB2312" w:hAnsi="宋体" w:eastAsia="仿宋_GB2312"/>
                <w:color w:val="auto"/>
                <w:szCs w:val="21"/>
              </w:rPr>
              <w:t>.采取的行政强制措施未在法定期限内做处理决定或超过法定期限未履行延期手续的扣</w:t>
            </w:r>
            <w:r>
              <w:rPr>
                <w:rFonts w:hint="eastAsia" w:ascii="仿宋_GB2312" w:hAnsi="宋体" w:eastAsia="仿宋_GB2312"/>
                <w:color w:val="auto"/>
                <w:szCs w:val="21"/>
                <w:lang w:val="en-US" w:eastAsia="zh-CN"/>
              </w:rPr>
              <w:t>5</w:t>
            </w:r>
            <w:r>
              <w:rPr>
                <w:rFonts w:hint="eastAsia" w:ascii="仿宋_GB2312" w:hAnsi="宋体" w:eastAsia="仿宋_GB2312"/>
                <w:color w:val="auto"/>
                <w:szCs w:val="21"/>
              </w:rPr>
              <w:t>分。</w:t>
            </w:r>
          </w:p>
          <w:p>
            <w:pPr>
              <w:pStyle w:val="6"/>
              <w:tabs>
                <w:tab w:val="left" w:pos="463"/>
              </w:tabs>
              <w:spacing w:beforeLines="0" w:afterLines="0" w:line="380" w:lineRule="exact"/>
              <w:rPr>
                <w:rFonts w:ascii="仿宋_GB2312" w:hAnsi="宋体" w:eastAsia="仿宋_GB2312"/>
                <w:color w:val="auto"/>
                <w:szCs w:val="21"/>
              </w:rPr>
            </w:pPr>
            <w:r>
              <w:rPr>
                <w:rFonts w:hint="eastAsia" w:ascii="仿宋_GB2312" w:hAnsi="宋体" w:eastAsia="仿宋_GB2312"/>
                <w:color w:val="auto"/>
                <w:szCs w:val="21"/>
              </w:rPr>
              <w:t xml:space="preserve">    </w:t>
            </w:r>
            <w:r>
              <w:rPr>
                <w:rFonts w:hint="eastAsia" w:ascii="仿宋_GB2312" w:hAnsi="宋体" w:eastAsia="仿宋_GB2312"/>
                <w:color w:val="auto"/>
                <w:szCs w:val="21"/>
                <w:lang w:val="en-US" w:eastAsia="zh-CN"/>
              </w:rPr>
              <w:t>8</w:t>
            </w:r>
            <w:r>
              <w:rPr>
                <w:rFonts w:hint="eastAsia" w:ascii="仿宋_GB2312" w:hAnsi="宋体" w:eastAsia="仿宋_GB2312"/>
                <w:color w:val="auto"/>
                <w:szCs w:val="21"/>
              </w:rPr>
              <w:t>.对当事人的陈述申辩未制作笔录和复核意见书或当事人要求听证而未举行听证的扣</w:t>
            </w:r>
            <w:r>
              <w:rPr>
                <w:rFonts w:hint="eastAsia" w:ascii="仿宋_GB2312" w:hAnsi="宋体" w:eastAsia="仿宋_GB2312"/>
                <w:color w:val="auto"/>
                <w:szCs w:val="21"/>
                <w:lang w:val="en-US" w:eastAsia="zh-CN"/>
              </w:rPr>
              <w:t>5</w:t>
            </w:r>
            <w:r>
              <w:rPr>
                <w:rFonts w:hint="eastAsia" w:ascii="仿宋_GB2312" w:hAnsi="宋体" w:eastAsia="仿宋_GB2312"/>
                <w:color w:val="auto"/>
                <w:szCs w:val="21"/>
              </w:rPr>
              <w:t>分。</w:t>
            </w:r>
          </w:p>
          <w:p>
            <w:pPr>
              <w:pStyle w:val="6"/>
              <w:spacing w:beforeLines="0" w:afterLines="0" w:line="380" w:lineRule="exact"/>
              <w:rPr>
                <w:rFonts w:ascii="仿宋_GB2312" w:hAnsi="宋体" w:eastAsia="仿宋_GB2312"/>
                <w:color w:val="auto"/>
                <w:szCs w:val="21"/>
              </w:rPr>
            </w:pPr>
            <w:r>
              <w:rPr>
                <w:rFonts w:hint="eastAsia" w:ascii="仿宋_GB2312" w:hAnsi="宋体" w:eastAsia="仿宋_GB2312"/>
                <w:color w:val="auto"/>
                <w:szCs w:val="21"/>
              </w:rPr>
              <w:t xml:space="preserve">    </w:t>
            </w:r>
            <w:r>
              <w:rPr>
                <w:rFonts w:hint="eastAsia" w:ascii="仿宋_GB2312" w:hAnsi="宋体" w:eastAsia="仿宋_GB2312"/>
                <w:color w:val="auto"/>
                <w:szCs w:val="21"/>
                <w:lang w:val="en-US" w:eastAsia="zh-CN"/>
              </w:rPr>
              <w:t>9</w:t>
            </w:r>
            <w:r>
              <w:rPr>
                <w:rFonts w:hint="eastAsia" w:ascii="仿宋_GB2312" w:hAnsi="宋体" w:eastAsia="仿宋_GB2312"/>
                <w:color w:val="auto"/>
                <w:szCs w:val="21"/>
              </w:rPr>
              <w:t xml:space="preserve">.合议记录、重大案件集体讨论记录所记录的讨论意见、合议意见或讨论决定内容不规范、不完整、表述不准确的扣2分；参会人员未按规定签字的扣1分。   </w:t>
            </w: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lang w:val="en-US" w:eastAsia="zh-CN"/>
              </w:rPr>
              <w:t>10</w:t>
            </w:r>
            <w:r>
              <w:rPr>
                <w:rFonts w:hint="eastAsia" w:ascii="仿宋_GB2312" w:hAnsi="宋体" w:eastAsia="仿宋_GB2312"/>
                <w:color w:val="auto"/>
                <w:szCs w:val="21"/>
              </w:rPr>
              <w:t>.无正当理由随意改变行政处罚决定内容的扣5分。</w:t>
            </w:r>
          </w:p>
          <w:p>
            <w:pPr>
              <w:pStyle w:val="6"/>
              <w:spacing w:beforeLines="0" w:afterLines="0" w:line="380" w:lineRule="exact"/>
              <w:ind w:firstLine="429"/>
              <w:rPr>
                <w:rFonts w:ascii="仿宋_GB2312" w:hAnsi="宋体" w:eastAsia="仿宋_GB2312"/>
                <w:color w:val="auto"/>
                <w:szCs w:val="21"/>
              </w:rPr>
            </w:pPr>
            <w:r>
              <w:rPr>
                <w:rFonts w:hint="eastAsia" w:ascii="仿宋_GB2312" w:hAnsi="宋体" w:eastAsia="仿宋_GB2312"/>
                <w:color w:val="auto"/>
                <w:szCs w:val="21"/>
                <w:lang w:val="en-US" w:eastAsia="zh-CN"/>
              </w:rPr>
              <w:t>11</w:t>
            </w:r>
            <w:r>
              <w:rPr>
                <w:rFonts w:hint="eastAsia" w:ascii="仿宋_GB2312" w:hAnsi="宋体" w:eastAsia="仿宋_GB2312"/>
                <w:color w:val="auto"/>
                <w:szCs w:val="21"/>
              </w:rPr>
              <w:t>.未按规定程序和期限对没收物品进行处理的扣2分。</w:t>
            </w: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w:t>
            </w:r>
            <w:r>
              <w:rPr>
                <w:rFonts w:hint="eastAsia" w:ascii="仿宋_GB2312" w:hAnsi="宋体" w:eastAsia="仿宋_GB2312"/>
                <w:color w:val="auto"/>
                <w:szCs w:val="21"/>
                <w:lang w:val="en-US" w:eastAsia="zh-CN"/>
              </w:rPr>
              <w:t>2</w:t>
            </w:r>
            <w:r>
              <w:rPr>
                <w:rFonts w:hint="eastAsia" w:ascii="仿宋_GB2312" w:hAnsi="宋体" w:eastAsia="仿宋_GB2312"/>
                <w:color w:val="auto"/>
                <w:szCs w:val="21"/>
              </w:rPr>
              <w:t>.未按法定时限送达处罚决定书的扣2分。</w:t>
            </w:r>
          </w:p>
          <w:p>
            <w:pPr>
              <w:pStyle w:val="6"/>
              <w:spacing w:beforeLines="0" w:afterLines="0" w:line="380" w:lineRule="exact"/>
              <w:rPr>
                <w:rFonts w:ascii="仿宋_GB2312" w:hAnsi="宋体" w:eastAsia="仿宋_GB2312"/>
                <w:color w:val="auto"/>
                <w:spacing w:val="-9"/>
                <w:szCs w:val="21"/>
              </w:rPr>
            </w:pPr>
            <w:r>
              <w:rPr>
                <w:rFonts w:hint="eastAsia" w:ascii="仿宋_GB2312" w:hAnsi="宋体" w:eastAsia="仿宋_GB2312"/>
                <w:color w:val="auto"/>
                <w:szCs w:val="21"/>
              </w:rPr>
              <w:t xml:space="preserve">    </w:t>
            </w:r>
            <w:r>
              <w:rPr>
                <w:rFonts w:hint="eastAsia" w:ascii="仿宋_GB2312" w:hAnsi="宋体" w:eastAsia="仿宋_GB2312"/>
                <w:color w:val="auto"/>
                <w:szCs w:val="21"/>
                <w:lang w:val="en-US" w:eastAsia="zh-CN"/>
              </w:rPr>
              <w:t>13</w:t>
            </w:r>
            <w:r>
              <w:rPr>
                <w:rFonts w:hint="eastAsia" w:ascii="仿宋_GB2312" w:hAnsi="宋体" w:eastAsia="仿宋_GB2312"/>
                <w:color w:val="auto"/>
                <w:szCs w:val="21"/>
              </w:rPr>
              <w:t>.</w:t>
            </w:r>
            <w:r>
              <w:rPr>
                <w:rFonts w:hint="eastAsia" w:ascii="仿宋_GB2312" w:hAnsi="宋体" w:eastAsia="仿宋_GB2312"/>
                <w:color w:val="auto"/>
                <w:spacing w:val="-9"/>
                <w:szCs w:val="21"/>
              </w:rPr>
              <w:t>未经当事人申请和行政机关批准而延期或分期缴纳罚款的扣1分。</w:t>
            </w:r>
          </w:p>
          <w:p>
            <w:pPr>
              <w:pStyle w:val="6"/>
              <w:spacing w:beforeLines="0" w:afterLines="0" w:line="380" w:lineRule="exact"/>
              <w:rPr>
                <w:rFonts w:ascii="仿宋_GB2312" w:hAnsi="宋体" w:eastAsia="仿宋_GB2312"/>
                <w:color w:val="auto"/>
                <w:szCs w:val="21"/>
              </w:rPr>
            </w:pPr>
            <w:r>
              <w:rPr>
                <w:rFonts w:hint="eastAsia" w:ascii="仿宋_GB2312" w:hAnsi="宋体" w:eastAsia="仿宋_GB2312"/>
                <w:color w:val="auto"/>
                <w:szCs w:val="21"/>
              </w:rPr>
              <w:t xml:space="preserve">    1</w:t>
            </w:r>
            <w:r>
              <w:rPr>
                <w:rFonts w:hint="eastAsia" w:ascii="仿宋_GB2312" w:hAnsi="宋体" w:eastAsia="仿宋_GB2312"/>
                <w:color w:val="auto"/>
                <w:szCs w:val="21"/>
                <w:lang w:val="en-US" w:eastAsia="zh-CN"/>
              </w:rPr>
              <w:t>4</w:t>
            </w:r>
            <w:r>
              <w:rPr>
                <w:rFonts w:hint="eastAsia" w:ascii="仿宋_GB2312" w:hAnsi="宋体" w:eastAsia="仿宋_GB2312"/>
                <w:color w:val="auto"/>
                <w:szCs w:val="21"/>
              </w:rPr>
              <w:t>.未执行罚缴分离规定的（符合规定条件的除外）扣3分。</w:t>
            </w:r>
          </w:p>
          <w:p>
            <w:pPr>
              <w:pStyle w:val="6"/>
              <w:spacing w:beforeLines="0" w:afterLines="0" w:line="380" w:lineRule="exact"/>
              <w:rPr>
                <w:rFonts w:ascii="仿宋_GB2312" w:hAnsi="宋体" w:eastAsia="仿宋_GB2312"/>
                <w:color w:val="auto"/>
                <w:szCs w:val="21"/>
              </w:rPr>
            </w:pPr>
            <w:r>
              <w:rPr>
                <w:rFonts w:hint="eastAsia" w:ascii="仿宋_GB2312" w:hAnsi="宋体" w:eastAsia="仿宋_GB2312"/>
                <w:color w:val="auto"/>
                <w:szCs w:val="21"/>
              </w:rPr>
              <w:t xml:space="preserve">    1</w:t>
            </w:r>
            <w:r>
              <w:rPr>
                <w:rFonts w:hint="eastAsia" w:ascii="仿宋_GB2312" w:hAnsi="宋体" w:eastAsia="仿宋_GB2312"/>
                <w:color w:val="auto"/>
                <w:szCs w:val="21"/>
                <w:lang w:val="en-US" w:eastAsia="zh-CN"/>
              </w:rPr>
              <w:t>5</w:t>
            </w:r>
            <w:r>
              <w:rPr>
                <w:rFonts w:hint="eastAsia" w:ascii="仿宋_GB2312" w:hAnsi="宋体" w:eastAsia="仿宋_GB2312"/>
                <w:color w:val="auto"/>
                <w:szCs w:val="21"/>
              </w:rPr>
              <w:t>.未经授权委托代表法定代表人（负责人）在执法文书上签字的扣1分。</w:t>
            </w: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w:t>
            </w:r>
            <w:r>
              <w:rPr>
                <w:rFonts w:hint="eastAsia" w:ascii="仿宋_GB2312" w:hAnsi="宋体" w:eastAsia="仿宋_GB2312"/>
                <w:color w:val="auto"/>
                <w:szCs w:val="21"/>
                <w:lang w:val="en-US" w:eastAsia="zh-CN"/>
              </w:rPr>
              <w:t>6</w:t>
            </w:r>
            <w:r>
              <w:rPr>
                <w:rFonts w:hint="eastAsia" w:ascii="仿宋_GB2312" w:hAnsi="宋体" w:eastAsia="仿宋_GB2312"/>
                <w:color w:val="auto"/>
                <w:szCs w:val="21"/>
              </w:rPr>
              <w:t>.卷宗缺少案件合议、</w:t>
            </w:r>
            <w:r>
              <w:rPr>
                <w:rFonts w:hint="eastAsia" w:ascii="仿宋_GB2312" w:hAnsi="宋体" w:eastAsia="仿宋_GB2312"/>
                <w:color w:val="auto"/>
                <w:szCs w:val="21"/>
                <w:lang w:eastAsia="zh-CN"/>
              </w:rPr>
              <w:t>核审、</w:t>
            </w:r>
            <w:r>
              <w:rPr>
                <w:rFonts w:hint="eastAsia" w:ascii="仿宋_GB2312" w:hAnsi="宋体" w:eastAsia="仿宋_GB2312"/>
                <w:color w:val="auto"/>
                <w:szCs w:val="21"/>
              </w:rPr>
              <w:t>重大案件集体讨论、行政处罚审批、行政处罚决定、处罚决定送达及应采取行政强制措施等重要程序的，每项扣10分。</w:t>
            </w:r>
          </w:p>
          <w:p>
            <w:pPr>
              <w:pStyle w:val="6"/>
              <w:spacing w:beforeLines="0" w:afterLines="0" w:line="3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w:t>
            </w:r>
            <w:r>
              <w:rPr>
                <w:rFonts w:hint="eastAsia" w:ascii="仿宋_GB2312" w:hAnsi="宋体" w:eastAsia="仿宋_GB2312"/>
                <w:color w:val="auto"/>
                <w:szCs w:val="21"/>
                <w:lang w:val="en-US" w:eastAsia="zh-CN"/>
              </w:rPr>
              <w:t>7</w:t>
            </w:r>
            <w:r>
              <w:rPr>
                <w:rFonts w:hint="eastAsia" w:ascii="仿宋_GB2312" w:hAnsi="宋体" w:eastAsia="仿宋_GB2312"/>
                <w:color w:val="auto"/>
                <w:szCs w:val="21"/>
              </w:rPr>
              <w:t>.卷宗缺少案件来源、立案申请、责令改正、调查终结报告、没收物品凭证、延期审批、延期书面告知等其它程序的，每项扣5分。</w:t>
            </w:r>
          </w:p>
          <w:p>
            <w:pPr>
              <w:pStyle w:val="6"/>
              <w:spacing w:beforeLines="0" w:afterLines="0" w:line="380" w:lineRule="exact"/>
              <w:rPr>
                <w:rFonts w:ascii="仿宋_GB2312" w:hAnsi="宋体" w:eastAsia="仿宋_GB2312"/>
                <w:color w:val="auto"/>
                <w:spacing w:val="-10"/>
                <w:szCs w:val="21"/>
              </w:rPr>
            </w:pPr>
            <w:r>
              <w:rPr>
                <w:rFonts w:hint="eastAsia" w:ascii="仿宋_GB2312" w:hAnsi="宋体" w:eastAsia="仿宋_GB2312"/>
                <w:color w:val="auto"/>
                <w:szCs w:val="21"/>
              </w:rPr>
              <w:t xml:space="preserve">    1</w:t>
            </w:r>
            <w:r>
              <w:rPr>
                <w:rFonts w:hint="eastAsia" w:ascii="仿宋_GB2312" w:hAnsi="宋体" w:eastAsia="仿宋_GB2312"/>
                <w:color w:val="auto"/>
                <w:szCs w:val="21"/>
                <w:lang w:val="en-US" w:eastAsia="zh-CN"/>
              </w:rPr>
              <w:t>8</w:t>
            </w:r>
            <w:r>
              <w:rPr>
                <w:rFonts w:hint="eastAsia" w:ascii="仿宋_GB2312" w:hAnsi="宋体" w:eastAsia="仿宋_GB2312"/>
                <w:color w:val="auto"/>
                <w:szCs w:val="21"/>
              </w:rPr>
              <w:t xml:space="preserve">.其他违反法定程序的，视情况酌情扣分。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pStyle w:val="6"/>
              <w:spacing w:beforeLines="0" w:afterLines="0" w:line="320" w:lineRule="exact"/>
              <w:jc w:val="center"/>
              <w:rPr>
                <w:rFonts w:ascii="宋体" w:hAnsi="宋体"/>
                <w:b/>
                <w:bCs/>
                <w:color w:val="auto"/>
                <w:szCs w:val="21"/>
              </w:rPr>
            </w:pPr>
          </w:p>
          <w:p>
            <w:pPr>
              <w:pStyle w:val="6"/>
              <w:spacing w:beforeLines="0" w:afterLines="0" w:line="320" w:lineRule="exact"/>
              <w:jc w:val="center"/>
              <w:rPr>
                <w:rFonts w:hint="eastAsia" w:ascii="宋体" w:hAnsi="宋体"/>
                <w:b/>
                <w:bCs/>
                <w:color w:val="auto"/>
                <w:szCs w:val="21"/>
              </w:rPr>
            </w:pPr>
            <w:r>
              <w:rPr>
                <w:rFonts w:hint="eastAsia" w:ascii="宋体" w:hAnsi="宋体"/>
                <w:b/>
                <w:bCs/>
                <w:color w:val="auto"/>
                <w:szCs w:val="21"/>
              </w:rPr>
              <w:t>主体</w:t>
            </w:r>
          </w:p>
          <w:p>
            <w:pPr>
              <w:pStyle w:val="6"/>
              <w:spacing w:beforeLines="0" w:afterLines="0" w:line="320" w:lineRule="exact"/>
              <w:jc w:val="center"/>
              <w:rPr>
                <w:rFonts w:hint="eastAsia" w:ascii="宋体" w:hAnsi="宋体" w:eastAsia="宋体"/>
                <w:b/>
                <w:bCs/>
                <w:color w:val="auto"/>
                <w:szCs w:val="21"/>
                <w:lang w:eastAsia="zh-CN"/>
              </w:rPr>
            </w:pPr>
            <w:r>
              <w:rPr>
                <w:rFonts w:hint="eastAsia" w:ascii="宋体" w:hAnsi="宋体"/>
                <w:b/>
                <w:bCs/>
                <w:color w:val="auto"/>
                <w:szCs w:val="21"/>
                <w:lang w:eastAsia="zh-CN"/>
              </w:rPr>
              <w:t>合法</w:t>
            </w:r>
          </w:p>
          <w:p>
            <w:pPr>
              <w:pStyle w:val="6"/>
              <w:spacing w:beforeLines="0" w:afterLines="0" w:line="320" w:lineRule="exact"/>
              <w:jc w:val="center"/>
              <w:rPr>
                <w:rFonts w:ascii="宋体" w:hAnsi="宋体"/>
                <w:b/>
                <w:bCs/>
                <w:color w:val="auto"/>
                <w:szCs w:val="21"/>
              </w:rPr>
            </w:pPr>
          </w:p>
        </w:tc>
        <w:tc>
          <w:tcPr>
            <w:tcW w:w="7548" w:type="dxa"/>
            <w:tcBorders>
              <w:top w:val="single" w:color="auto" w:sz="4" w:space="0"/>
              <w:left w:val="single" w:color="auto" w:sz="4" w:space="0"/>
              <w:bottom w:val="single" w:color="auto" w:sz="4" w:space="0"/>
              <w:right w:val="single" w:color="auto" w:sz="4" w:space="0"/>
            </w:tcBorders>
            <w:vAlign w:val="center"/>
          </w:tcPr>
          <w:p>
            <w:pPr>
              <w:pStyle w:val="6"/>
              <w:spacing w:beforeLines="0" w:afterLines="0" w:line="32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1.实施行政处罚的机关或组织应具有法定行政处罚主体资格，作出的行政处罚行为符合法定职责权限。</w:t>
            </w:r>
          </w:p>
          <w:p>
            <w:pPr>
              <w:pStyle w:val="6"/>
              <w:spacing w:beforeLines="0" w:afterLines="0" w:line="32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2.依照法律、法规、规章规定受委托执法的组织应当以委托机关名义实施行政处罚。</w:t>
            </w:r>
          </w:p>
          <w:p>
            <w:pPr>
              <w:pStyle w:val="6"/>
              <w:spacing w:beforeLines="0" w:afterLines="0" w:line="32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3.承办行政处罚案件的人员应具备</w:t>
            </w:r>
            <w:r>
              <w:rPr>
                <w:rFonts w:hint="eastAsia" w:ascii="仿宋_GB2312" w:hAnsi="宋体" w:eastAsia="仿宋_GB2312"/>
                <w:color w:val="auto"/>
                <w:szCs w:val="21"/>
                <w:lang w:eastAsia="zh-CN"/>
              </w:rPr>
              <w:t>行政执法</w:t>
            </w:r>
            <w:r>
              <w:rPr>
                <w:rFonts w:hint="eastAsia" w:ascii="仿宋_GB2312" w:hAnsi="宋体" w:eastAsia="仿宋_GB2312"/>
                <w:color w:val="auto"/>
                <w:szCs w:val="21"/>
              </w:rPr>
              <w:t>资格。</w:t>
            </w:r>
          </w:p>
          <w:p>
            <w:pPr>
              <w:pStyle w:val="6"/>
              <w:spacing w:beforeLines="0" w:afterLines="0" w:line="32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4.被处罚对象应当主体合格，依法能够独立行使权利和承担法律责任。</w:t>
            </w:r>
          </w:p>
        </w:tc>
        <w:tc>
          <w:tcPr>
            <w:tcW w:w="6604" w:type="dxa"/>
            <w:tcBorders>
              <w:top w:val="single" w:color="auto" w:sz="4" w:space="0"/>
              <w:left w:val="single" w:color="auto" w:sz="4" w:space="0"/>
              <w:bottom w:val="single" w:color="auto" w:sz="4" w:space="0"/>
              <w:right w:val="single" w:color="auto" w:sz="4" w:space="0"/>
            </w:tcBorders>
            <w:vAlign w:val="center"/>
          </w:tcPr>
          <w:p>
            <w:pPr>
              <w:pStyle w:val="6"/>
              <w:spacing w:beforeLines="0" w:afterLines="0" w:line="32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1.不具有行政处罚主体资格或超越法定职权实施行政处罚的</w:t>
            </w:r>
            <w:r>
              <w:rPr>
                <w:rFonts w:hint="eastAsia" w:ascii="仿宋_GB2312" w:hAnsi="宋体" w:eastAsia="仿宋_GB2312"/>
                <w:color w:val="auto"/>
                <w:szCs w:val="21"/>
                <w:lang w:eastAsia="zh-CN"/>
              </w:rPr>
              <w:t>直接判定为不合格卷</w:t>
            </w:r>
            <w:r>
              <w:rPr>
                <w:rFonts w:hint="eastAsia" w:ascii="仿宋_GB2312" w:hAnsi="宋体" w:eastAsia="仿宋_GB2312"/>
                <w:color w:val="auto"/>
                <w:szCs w:val="21"/>
              </w:rPr>
              <w:t>。</w:t>
            </w:r>
          </w:p>
          <w:p>
            <w:pPr>
              <w:pStyle w:val="6"/>
              <w:spacing w:beforeLines="0" w:afterLines="0" w:line="32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2.未经依法委托或超越委托范围从事行政处罚的</w:t>
            </w:r>
            <w:r>
              <w:rPr>
                <w:rFonts w:hint="eastAsia" w:ascii="仿宋_GB2312" w:hAnsi="宋体" w:eastAsia="仿宋_GB2312"/>
                <w:color w:val="auto"/>
                <w:szCs w:val="21"/>
                <w:lang w:eastAsia="zh-CN"/>
              </w:rPr>
              <w:t>直接判定为不合格卷</w:t>
            </w:r>
            <w:r>
              <w:rPr>
                <w:rFonts w:hint="eastAsia" w:ascii="仿宋_GB2312" w:hAnsi="宋体" w:eastAsia="仿宋_GB2312"/>
                <w:color w:val="auto"/>
                <w:szCs w:val="21"/>
              </w:rPr>
              <w:t>。</w:t>
            </w:r>
          </w:p>
          <w:p>
            <w:pPr>
              <w:pStyle w:val="6"/>
              <w:spacing w:beforeLines="0" w:afterLines="0" w:line="32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3.不具备执法资格的人员执法的</w:t>
            </w:r>
            <w:r>
              <w:rPr>
                <w:rFonts w:hint="eastAsia" w:ascii="仿宋_GB2312" w:hAnsi="宋体" w:eastAsia="仿宋_GB2312"/>
                <w:color w:val="auto"/>
                <w:szCs w:val="21"/>
                <w:lang w:eastAsia="zh-CN"/>
              </w:rPr>
              <w:t>直接判定为不合格卷</w:t>
            </w:r>
            <w:r>
              <w:rPr>
                <w:rFonts w:hint="eastAsia" w:ascii="仿宋_GB2312" w:hAnsi="宋体" w:eastAsia="仿宋_GB2312"/>
                <w:color w:val="auto"/>
                <w:szCs w:val="21"/>
              </w:rPr>
              <w:t>。</w:t>
            </w:r>
          </w:p>
          <w:p>
            <w:pPr>
              <w:pStyle w:val="6"/>
              <w:spacing w:beforeLines="0" w:afterLines="0" w:line="320" w:lineRule="exact"/>
              <w:ind w:firstLine="420" w:firstLineChars="200"/>
              <w:rPr>
                <w:rFonts w:ascii="仿宋_GB2312" w:hAnsi="宋体" w:eastAsia="仿宋_GB2312"/>
                <w:color w:val="auto"/>
                <w:spacing w:val="-10"/>
                <w:szCs w:val="21"/>
              </w:rPr>
            </w:pPr>
            <w:r>
              <w:rPr>
                <w:rFonts w:hint="eastAsia" w:ascii="仿宋_GB2312" w:hAnsi="宋体" w:eastAsia="仿宋_GB2312"/>
                <w:color w:val="auto"/>
                <w:szCs w:val="21"/>
              </w:rPr>
              <w:t>4.被处罚对象认定错误的</w:t>
            </w:r>
            <w:r>
              <w:rPr>
                <w:rFonts w:hint="eastAsia" w:ascii="仿宋_GB2312" w:hAnsi="宋体" w:eastAsia="仿宋_GB2312"/>
                <w:color w:val="auto"/>
                <w:szCs w:val="21"/>
                <w:lang w:eastAsia="zh-CN"/>
              </w:rPr>
              <w:t>直接判定为不合格卷</w:t>
            </w:r>
            <w:r>
              <w:rPr>
                <w:rFonts w:hint="eastAsia" w:ascii="仿宋_GB2312" w:hAnsi="宋体" w:eastAsia="仿宋_GB2312"/>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pStyle w:val="6"/>
              <w:spacing w:beforeLines="0" w:afterLines="0" w:line="320" w:lineRule="exact"/>
              <w:jc w:val="center"/>
              <w:rPr>
                <w:rFonts w:ascii="宋体" w:hAnsi="宋体"/>
                <w:b/>
                <w:bCs/>
                <w:color w:val="auto"/>
                <w:szCs w:val="21"/>
              </w:rPr>
            </w:pPr>
          </w:p>
          <w:p>
            <w:pPr>
              <w:pStyle w:val="6"/>
              <w:spacing w:beforeLines="0" w:afterLines="0" w:line="320" w:lineRule="exact"/>
              <w:jc w:val="center"/>
              <w:rPr>
                <w:rFonts w:hint="eastAsia" w:ascii="宋体" w:hAnsi="宋体"/>
                <w:b/>
                <w:bCs/>
                <w:color w:val="auto"/>
                <w:szCs w:val="21"/>
              </w:rPr>
            </w:pPr>
            <w:r>
              <w:rPr>
                <w:rFonts w:hint="eastAsia" w:ascii="宋体" w:hAnsi="宋体"/>
                <w:b/>
                <w:bCs/>
                <w:color w:val="auto"/>
                <w:szCs w:val="21"/>
              </w:rPr>
              <w:t>事实</w:t>
            </w:r>
          </w:p>
          <w:p>
            <w:pPr>
              <w:pStyle w:val="6"/>
              <w:spacing w:beforeLines="0" w:afterLines="0" w:line="320" w:lineRule="exact"/>
              <w:jc w:val="center"/>
              <w:rPr>
                <w:rFonts w:hint="eastAsia" w:ascii="宋体" w:hAnsi="宋体"/>
                <w:b/>
                <w:bCs/>
                <w:color w:val="auto"/>
                <w:szCs w:val="21"/>
                <w:lang w:eastAsia="zh-CN"/>
              </w:rPr>
            </w:pPr>
            <w:r>
              <w:rPr>
                <w:rFonts w:hint="eastAsia" w:ascii="宋体" w:hAnsi="宋体"/>
                <w:b/>
                <w:bCs/>
                <w:color w:val="auto"/>
                <w:szCs w:val="21"/>
                <w:lang w:eastAsia="zh-CN"/>
              </w:rPr>
              <w:t>清楚</w:t>
            </w:r>
          </w:p>
          <w:p>
            <w:pPr>
              <w:pStyle w:val="6"/>
              <w:spacing w:beforeLines="0" w:afterLines="0" w:line="320" w:lineRule="exact"/>
              <w:jc w:val="center"/>
              <w:rPr>
                <w:rFonts w:ascii="宋体" w:hAnsi="宋体"/>
                <w:b/>
                <w:bCs/>
                <w:color w:val="auto"/>
                <w:szCs w:val="21"/>
              </w:rPr>
            </w:pPr>
          </w:p>
        </w:tc>
        <w:tc>
          <w:tcPr>
            <w:tcW w:w="7548" w:type="dxa"/>
            <w:tcBorders>
              <w:top w:val="single" w:color="auto" w:sz="4" w:space="0"/>
              <w:left w:val="single" w:color="auto" w:sz="4" w:space="0"/>
              <w:bottom w:val="single" w:color="auto" w:sz="4" w:space="0"/>
              <w:right w:val="single" w:color="auto" w:sz="4" w:space="0"/>
            </w:tcBorders>
            <w:vAlign w:val="center"/>
          </w:tcPr>
          <w:p>
            <w:pPr>
              <w:pStyle w:val="6"/>
              <w:spacing w:beforeLines="0" w:afterLines="0"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1.违法事实认定清楚。</w:t>
            </w:r>
          </w:p>
          <w:p>
            <w:pPr>
              <w:pStyle w:val="6"/>
              <w:spacing w:beforeLines="0" w:afterLines="0"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2.执法文书应当准确载明当事人的基本情况，违法行为发生的时间、地点，违法事实、情节和危害后果等内容。</w:t>
            </w:r>
          </w:p>
          <w:p>
            <w:pPr>
              <w:pStyle w:val="6"/>
              <w:spacing w:beforeLines="0" w:afterLines="0" w:line="400" w:lineRule="exact"/>
              <w:ind w:firstLine="420" w:firstLineChars="200"/>
              <w:rPr>
                <w:rFonts w:ascii="仿宋_GB2312" w:hAnsi="宋体" w:eastAsia="仿宋_GB2312"/>
                <w:color w:val="auto"/>
                <w:kern w:val="0"/>
                <w:szCs w:val="21"/>
              </w:rPr>
            </w:pPr>
            <w:r>
              <w:rPr>
                <w:rFonts w:hint="eastAsia" w:ascii="仿宋_GB2312" w:hAnsi="宋体" w:eastAsia="仿宋_GB2312"/>
                <w:color w:val="auto"/>
                <w:szCs w:val="21"/>
              </w:rPr>
              <w:t>3.违法物品数量、违法所得、货值金额等计算准确。</w:t>
            </w:r>
          </w:p>
        </w:tc>
        <w:tc>
          <w:tcPr>
            <w:tcW w:w="6604" w:type="dxa"/>
            <w:tcBorders>
              <w:top w:val="single" w:color="auto" w:sz="4" w:space="0"/>
              <w:left w:val="single" w:color="auto" w:sz="4" w:space="0"/>
              <w:bottom w:val="single" w:color="auto" w:sz="4" w:space="0"/>
              <w:right w:val="single" w:color="auto" w:sz="4" w:space="0"/>
            </w:tcBorders>
            <w:vAlign w:val="top"/>
          </w:tcPr>
          <w:p>
            <w:pPr>
              <w:pStyle w:val="6"/>
              <w:spacing w:beforeLines="0" w:afterLines="0"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w:t>
            </w:r>
            <w:r>
              <w:rPr>
                <w:rFonts w:hint="eastAsia" w:ascii="仿宋_GB2312" w:hAnsi="宋体" w:eastAsia="仿宋_GB2312"/>
                <w:color w:val="auto"/>
                <w:spacing w:val="-10"/>
                <w:szCs w:val="21"/>
              </w:rPr>
              <w:t>对违法事实认定错误的</w:t>
            </w:r>
            <w:r>
              <w:rPr>
                <w:rFonts w:hint="eastAsia" w:ascii="仿宋_GB2312" w:hAnsi="宋体" w:eastAsia="仿宋_GB2312"/>
                <w:color w:val="auto"/>
                <w:szCs w:val="21"/>
                <w:lang w:eastAsia="zh-CN"/>
              </w:rPr>
              <w:t>直接判定为不合格卷</w:t>
            </w:r>
            <w:r>
              <w:rPr>
                <w:rFonts w:hint="eastAsia" w:ascii="仿宋_GB2312" w:hAnsi="宋体" w:eastAsia="仿宋_GB2312"/>
                <w:color w:val="auto"/>
                <w:spacing w:val="-10"/>
                <w:szCs w:val="21"/>
              </w:rPr>
              <w:t>。</w:t>
            </w:r>
          </w:p>
          <w:p>
            <w:pPr>
              <w:pStyle w:val="6"/>
              <w:spacing w:beforeLines="0" w:afterLines="0" w:line="400" w:lineRule="exact"/>
              <w:ind w:left="640" w:leftChars="200"/>
              <w:rPr>
                <w:rFonts w:ascii="仿宋_GB2312" w:hAnsi="宋体" w:eastAsia="仿宋_GB2312"/>
                <w:color w:val="auto"/>
                <w:szCs w:val="21"/>
              </w:rPr>
            </w:pPr>
            <w:r>
              <w:rPr>
                <w:rFonts w:hint="eastAsia" w:ascii="仿宋_GB2312" w:hAnsi="宋体" w:eastAsia="仿宋_GB2312"/>
                <w:color w:val="auto"/>
                <w:szCs w:val="21"/>
              </w:rPr>
              <w:t>2.违</w:t>
            </w:r>
            <w:r>
              <w:rPr>
                <w:rFonts w:hint="eastAsia" w:ascii="仿宋_GB2312" w:hAnsi="宋体" w:eastAsia="仿宋_GB2312"/>
                <w:color w:val="auto"/>
                <w:spacing w:val="-10"/>
                <w:szCs w:val="21"/>
              </w:rPr>
              <w:t>法行为发生的时间、地点及事实、情节、危害后果等记录不准确或表述不清楚的扣</w:t>
            </w:r>
            <w:r>
              <w:rPr>
                <w:rFonts w:hint="eastAsia" w:ascii="仿宋_GB2312" w:hAnsi="宋体" w:eastAsia="仿宋_GB2312"/>
                <w:color w:val="auto"/>
                <w:spacing w:val="-10"/>
                <w:szCs w:val="21"/>
                <w:lang w:val="en-US" w:eastAsia="zh-CN"/>
              </w:rPr>
              <w:t>3</w:t>
            </w:r>
            <w:r>
              <w:rPr>
                <w:rFonts w:hint="eastAsia" w:ascii="仿宋_GB2312" w:hAnsi="宋体" w:eastAsia="仿宋_GB2312"/>
                <w:color w:val="auto"/>
                <w:spacing w:val="-10"/>
                <w:szCs w:val="21"/>
              </w:rPr>
              <w:t>分。</w:t>
            </w:r>
          </w:p>
          <w:p>
            <w:pPr>
              <w:pStyle w:val="6"/>
              <w:spacing w:beforeLines="0" w:afterLines="0"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lang w:val="en-US" w:eastAsia="zh-CN"/>
              </w:rPr>
              <w:t>3</w:t>
            </w:r>
            <w:r>
              <w:rPr>
                <w:rFonts w:hint="eastAsia" w:ascii="仿宋_GB2312" w:hAnsi="宋体" w:eastAsia="仿宋_GB2312"/>
                <w:color w:val="auto"/>
                <w:szCs w:val="21"/>
              </w:rPr>
              <w:t>.违法物品数量、违法所得、货值金额等计算错误的扣</w:t>
            </w:r>
            <w:r>
              <w:rPr>
                <w:rFonts w:hint="eastAsia" w:ascii="仿宋_GB2312" w:hAnsi="宋体" w:eastAsia="仿宋_GB2312"/>
                <w:color w:val="auto"/>
                <w:szCs w:val="21"/>
                <w:lang w:val="en-US" w:eastAsia="zh-CN"/>
              </w:rPr>
              <w:t>2</w:t>
            </w:r>
            <w:r>
              <w:rPr>
                <w:rFonts w:hint="eastAsia" w:ascii="仿宋_GB2312" w:hAnsi="宋体" w:eastAsia="仿宋_GB2312"/>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1"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pStyle w:val="6"/>
              <w:spacing w:beforeLines="0" w:afterLines="0" w:line="320" w:lineRule="exact"/>
              <w:jc w:val="center"/>
              <w:rPr>
                <w:rFonts w:ascii="宋体" w:hAnsi="宋体"/>
                <w:b/>
                <w:bCs/>
                <w:color w:val="auto"/>
                <w:szCs w:val="21"/>
              </w:rPr>
            </w:pPr>
            <w:r>
              <w:rPr>
                <w:rFonts w:hint="eastAsia" w:ascii="宋体" w:hAnsi="宋体"/>
                <w:b/>
                <w:bCs/>
                <w:color w:val="auto"/>
                <w:szCs w:val="21"/>
              </w:rPr>
              <w:t>证据</w:t>
            </w:r>
            <w:r>
              <w:rPr>
                <w:rFonts w:hint="eastAsia" w:ascii="宋体" w:hAnsi="宋体"/>
                <w:b/>
                <w:bCs/>
                <w:color w:val="auto"/>
                <w:szCs w:val="21"/>
                <w:lang w:eastAsia="zh-CN"/>
              </w:rPr>
              <w:t>充分</w:t>
            </w:r>
          </w:p>
        </w:tc>
        <w:tc>
          <w:tcPr>
            <w:tcW w:w="7548" w:type="dxa"/>
            <w:tcBorders>
              <w:top w:val="single" w:color="auto" w:sz="4" w:space="0"/>
              <w:left w:val="single" w:color="auto" w:sz="4" w:space="0"/>
              <w:bottom w:val="single" w:color="auto" w:sz="4" w:space="0"/>
              <w:right w:val="single" w:color="auto" w:sz="4" w:space="0"/>
            </w:tcBorders>
            <w:vAlign w:val="center"/>
          </w:tcPr>
          <w:p>
            <w:pPr>
              <w:pStyle w:val="6"/>
              <w:spacing w:beforeLines="0" w:afterLines="0" w:line="400" w:lineRule="exact"/>
              <w:ind w:firstLine="420" w:firstLineChars="200"/>
              <w:rPr>
                <w:rFonts w:ascii="仿宋_GB2312" w:hAnsi="宋体" w:eastAsia="仿宋_GB2312"/>
                <w:color w:val="auto"/>
                <w:szCs w:val="21"/>
              </w:rPr>
            </w:pPr>
          </w:p>
          <w:p>
            <w:pPr>
              <w:pStyle w:val="6"/>
              <w:spacing w:beforeLines="0" w:afterLines="0"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1.证据应当</w:t>
            </w:r>
            <w:r>
              <w:rPr>
                <w:rFonts w:hint="eastAsia" w:ascii="仿宋_GB2312" w:hAnsi="宋体" w:eastAsia="仿宋_GB2312"/>
                <w:color w:val="auto"/>
                <w:szCs w:val="21"/>
                <w:lang w:eastAsia="zh-CN"/>
              </w:rPr>
              <w:t>真实、</w:t>
            </w:r>
            <w:r>
              <w:rPr>
                <w:rFonts w:hint="eastAsia" w:ascii="仿宋_GB2312" w:hAnsi="宋体" w:eastAsia="仿宋_GB2312"/>
                <w:color w:val="auto"/>
                <w:szCs w:val="21"/>
              </w:rPr>
              <w:t>合法</w:t>
            </w:r>
            <w:r>
              <w:rPr>
                <w:rFonts w:hint="eastAsia" w:ascii="仿宋_GB2312" w:hAnsi="宋体" w:eastAsia="仿宋_GB2312"/>
                <w:color w:val="auto"/>
                <w:szCs w:val="21"/>
                <w:lang w:eastAsia="zh-CN"/>
              </w:rPr>
              <w:t>、关联</w:t>
            </w:r>
            <w:r>
              <w:rPr>
                <w:rFonts w:hint="eastAsia" w:ascii="仿宋_GB2312" w:hAnsi="宋体" w:eastAsia="仿宋_GB2312"/>
                <w:color w:val="auto"/>
                <w:szCs w:val="21"/>
              </w:rPr>
              <w:t>，提取证据应当符合法定程序。</w:t>
            </w:r>
          </w:p>
          <w:p>
            <w:pPr>
              <w:pStyle w:val="6"/>
              <w:spacing w:beforeLines="0" w:afterLines="0"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2.证据应当充分，足以证明违法的事实、情节、性质及后果，证据之间能相互印证并形成证据链。</w:t>
            </w:r>
          </w:p>
          <w:p>
            <w:pPr>
              <w:pStyle w:val="6"/>
              <w:spacing w:beforeLines="0" w:afterLines="0"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3.现场检查笔录、调查询问笔录等证据材料应按规定履行签字手续，内容有改动的，须由当事人签字或按指纹确认。</w:t>
            </w:r>
          </w:p>
          <w:p>
            <w:pPr>
              <w:pStyle w:val="6"/>
              <w:spacing w:beforeLines="0" w:afterLines="0"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4.调取证据应当是原件、原物，复制品应由当事人签字或者加盖公章确认。</w:t>
            </w:r>
          </w:p>
          <w:p>
            <w:pPr>
              <w:pStyle w:val="6"/>
              <w:spacing w:beforeLines="0" w:afterLines="0" w:line="400" w:lineRule="exact"/>
              <w:ind w:firstLine="420" w:firstLineChars="200"/>
              <w:rPr>
                <w:rFonts w:ascii="仿宋_GB2312" w:hAnsi="宋体" w:eastAsia="仿宋_GB2312"/>
                <w:color w:val="auto"/>
                <w:szCs w:val="21"/>
              </w:rPr>
            </w:pPr>
          </w:p>
        </w:tc>
        <w:tc>
          <w:tcPr>
            <w:tcW w:w="6604" w:type="dxa"/>
            <w:tcBorders>
              <w:top w:val="single" w:color="auto" w:sz="4" w:space="0"/>
              <w:left w:val="single" w:color="auto" w:sz="4" w:space="0"/>
              <w:bottom w:val="single" w:color="auto" w:sz="4" w:space="0"/>
              <w:right w:val="single" w:color="auto" w:sz="4" w:space="0"/>
            </w:tcBorders>
            <w:vAlign w:val="top"/>
          </w:tcPr>
          <w:p>
            <w:pPr>
              <w:pStyle w:val="6"/>
              <w:spacing w:beforeLines="0" w:afterLines="0"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1.不依法搜集证据</w:t>
            </w:r>
            <w:r>
              <w:rPr>
                <w:rFonts w:hint="eastAsia" w:ascii="仿宋_GB2312" w:hAnsi="宋体" w:eastAsia="仿宋_GB2312"/>
                <w:color w:val="auto"/>
              </w:rPr>
              <w:t>、</w:t>
            </w:r>
            <w:r>
              <w:rPr>
                <w:rFonts w:hint="eastAsia" w:ascii="仿宋_GB2312" w:hAnsi="宋体" w:eastAsia="仿宋_GB2312"/>
                <w:color w:val="auto"/>
                <w:szCs w:val="21"/>
              </w:rPr>
              <w:t>证据无效或者伪造证据的</w:t>
            </w:r>
            <w:r>
              <w:rPr>
                <w:rFonts w:hint="eastAsia" w:ascii="仿宋_GB2312" w:hAnsi="宋体" w:eastAsia="仿宋_GB2312"/>
                <w:color w:val="auto"/>
                <w:szCs w:val="21"/>
                <w:lang w:eastAsia="zh-CN"/>
              </w:rPr>
              <w:t>直接判定为不合格卷</w:t>
            </w:r>
            <w:r>
              <w:rPr>
                <w:rFonts w:hint="eastAsia" w:ascii="仿宋_GB2312" w:hAnsi="宋体" w:eastAsia="仿宋_GB2312"/>
                <w:color w:val="auto"/>
                <w:szCs w:val="21"/>
              </w:rPr>
              <w:t>。</w:t>
            </w:r>
          </w:p>
          <w:p>
            <w:pPr>
              <w:pStyle w:val="6"/>
              <w:spacing w:beforeLines="0" w:afterLines="0"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2.现场检查笔录、调查笔录等证据材料所记录的内容，不能充分反映违法的事实、情节、性质和危害后果的扣</w:t>
            </w:r>
            <w:r>
              <w:rPr>
                <w:rFonts w:hint="eastAsia" w:ascii="仿宋_GB2312" w:hAnsi="宋体" w:eastAsia="仿宋_GB2312"/>
                <w:color w:val="auto"/>
                <w:szCs w:val="21"/>
                <w:lang w:val="en-US" w:eastAsia="zh-CN"/>
              </w:rPr>
              <w:t>4</w:t>
            </w:r>
            <w:r>
              <w:rPr>
                <w:rFonts w:hint="eastAsia" w:ascii="仿宋_GB2312" w:hAnsi="宋体" w:eastAsia="仿宋_GB2312"/>
                <w:color w:val="auto"/>
                <w:szCs w:val="21"/>
              </w:rPr>
              <w:t>分；内容记录错误或不完整</w:t>
            </w:r>
            <w:r>
              <w:rPr>
                <w:rFonts w:hint="eastAsia" w:ascii="仿宋_GB2312" w:hAnsi="宋体" w:eastAsia="仿宋_GB2312"/>
                <w:color w:val="auto"/>
                <w:szCs w:val="21"/>
                <w:lang w:eastAsia="zh-CN"/>
              </w:rPr>
              <w:t>或于相关证据材料不符</w:t>
            </w:r>
            <w:r>
              <w:rPr>
                <w:rFonts w:hint="eastAsia" w:ascii="仿宋_GB2312" w:hAnsi="宋体" w:eastAsia="仿宋_GB2312"/>
                <w:color w:val="auto"/>
                <w:szCs w:val="21"/>
              </w:rPr>
              <w:t>的扣</w:t>
            </w:r>
            <w:r>
              <w:rPr>
                <w:rFonts w:hint="eastAsia" w:ascii="仿宋_GB2312" w:hAnsi="宋体" w:eastAsia="仿宋_GB2312"/>
                <w:color w:val="auto"/>
                <w:szCs w:val="21"/>
                <w:lang w:val="en-US" w:eastAsia="zh-CN"/>
              </w:rPr>
              <w:t>3</w:t>
            </w:r>
            <w:r>
              <w:rPr>
                <w:rFonts w:hint="eastAsia" w:ascii="仿宋_GB2312" w:hAnsi="宋体" w:eastAsia="仿宋_GB2312"/>
                <w:color w:val="auto"/>
                <w:szCs w:val="21"/>
              </w:rPr>
              <w:t>分；涂改处未经当事人签字或按指纹确认的扣</w:t>
            </w:r>
            <w:r>
              <w:rPr>
                <w:rFonts w:hint="eastAsia" w:ascii="仿宋_GB2312" w:hAnsi="宋体" w:eastAsia="仿宋_GB2312"/>
                <w:color w:val="auto"/>
                <w:szCs w:val="21"/>
                <w:lang w:val="en-US" w:eastAsia="zh-CN"/>
              </w:rPr>
              <w:t>2</w:t>
            </w:r>
            <w:r>
              <w:rPr>
                <w:rFonts w:hint="eastAsia" w:ascii="仿宋_GB2312" w:hAnsi="宋体" w:eastAsia="仿宋_GB2312"/>
                <w:color w:val="auto"/>
                <w:szCs w:val="21"/>
              </w:rPr>
              <w:t>分。</w:t>
            </w:r>
          </w:p>
          <w:p>
            <w:pPr>
              <w:pStyle w:val="6"/>
              <w:spacing w:beforeLines="0" w:afterLines="0" w:line="400" w:lineRule="exact"/>
              <w:ind w:firstLine="420" w:firstLineChars="200"/>
              <w:rPr>
                <w:rFonts w:ascii="仿宋_GB2312" w:hAnsi="宋体" w:eastAsia="仿宋_GB2312"/>
                <w:color w:val="auto"/>
                <w:spacing w:val="-10"/>
                <w:szCs w:val="21"/>
              </w:rPr>
            </w:pPr>
            <w:r>
              <w:rPr>
                <w:rFonts w:hint="eastAsia" w:ascii="仿宋_GB2312" w:hAnsi="宋体" w:eastAsia="仿宋_GB2312"/>
                <w:color w:val="auto"/>
                <w:szCs w:val="21"/>
              </w:rPr>
              <w:t>3.对当事人的身份证、营业执照、许可证等与案情有关的证据材料应当提取而未提取的扣5分；复制品未经当事人签字或盖公章确认并注明“</w:t>
            </w:r>
            <w:r>
              <w:rPr>
                <w:rFonts w:hint="eastAsia" w:ascii="仿宋_GB2312" w:hAnsi="宋体" w:eastAsia="仿宋_GB2312"/>
                <w:color w:val="auto"/>
                <w:szCs w:val="21"/>
                <w:lang w:eastAsia="zh-CN"/>
              </w:rPr>
              <w:t>此复印件（打印件）由</w:t>
            </w:r>
            <w:r>
              <w:rPr>
                <w:rFonts w:hint="eastAsia" w:ascii="仿宋_GB2312" w:hAnsi="宋体" w:eastAsia="仿宋_GB2312"/>
                <w:color w:val="auto"/>
                <w:szCs w:val="21"/>
                <w:lang w:val="en-US" w:eastAsia="zh-CN"/>
              </w:rPr>
              <w:t>xxx提供，经核对</w:t>
            </w:r>
            <w:r>
              <w:rPr>
                <w:rFonts w:hint="eastAsia" w:ascii="仿宋_GB2312" w:hAnsi="宋体" w:eastAsia="仿宋_GB2312"/>
                <w:color w:val="auto"/>
                <w:szCs w:val="21"/>
              </w:rPr>
              <w:t>与原物（件）相符”的扣2分。</w:t>
            </w:r>
          </w:p>
          <w:p>
            <w:pPr>
              <w:pStyle w:val="6"/>
              <w:spacing w:beforeLines="0" w:afterLines="0"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4.现场检查笔录、调查笔录等与案件有关的证据材料应当由当事人和执法人员签字而未签字，或当事人拒绝签字执法人员未注明拒签理由的扣</w:t>
            </w:r>
            <w:r>
              <w:rPr>
                <w:rFonts w:hint="eastAsia" w:ascii="仿宋_GB2312" w:hAnsi="宋体" w:eastAsia="仿宋_GB2312"/>
                <w:color w:val="auto"/>
                <w:szCs w:val="21"/>
                <w:lang w:val="en-US" w:eastAsia="zh-CN"/>
              </w:rPr>
              <w:t>2</w:t>
            </w:r>
            <w:r>
              <w:rPr>
                <w:rFonts w:hint="eastAsia" w:ascii="仿宋_GB2312" w:hAnsi="宋体" w:eastAsia="仿宋_GB2312"/>
                <w:color w:val="auto"/>
                <w:szCs w:val="21"/>
              </w:rPr>
              <w:t>分；当事人未注明真实性意见的扣1分。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pStyle w:val="6"/>
              <w:spacing w:beforeLines="0" w:afterLines="0" w:line="320" w:lineRule="exact"/>
              <w:jc w:val="center"/>
              <w:rPr>
                <w:rFonts w:ascii="宋体" w:hAnsi="宋体"/>
                <w:b/>
                <w:bCs/>
                <w:color w:val="auto"/>
                <w:szCs w:val="21"/>
              </w:rPr>
            </w:pPr>
            <w:r>
              <w:rPr>
                <w:rFonts w:hint="eastAsia" w:ascii="宋体" w:hAnsi="宋体"/>
                <w:b/>
                <w:bCs/>
                <w:color w:val="auto"/>
                <w:szCs w:val="21"/>
              </w:rPr>
              <w:t>依据</w:t>
            </w:r>
            <w:r>
              <w:rPr>
                <w:rFonts w:hint="eastAsia" w:ascii="宋体" w:hAnsi="宋体"/>
                <w:b/>
                <w:bCs/>
                <w:color w:val="auto"/>
                <w:szCs w:val="21"/>
                <w:lang w:eastAsia="zh-CN"/>
              </w:rPr>
              <w:t>正确</w:t>
            </w:r>
          </w:p>
        </w:tc>
        <w:tc>
          <w:tcPr>
            <w:tcW w:w="7548" w:type="dxa"/>
            <w:tcBorders>
              <w:top w:val="single" w:color="auto" w:sz="4" w:space="0"/>
              <w:left w:val="single" w:color="auto" w:sz="4" w:space="0"/>
              <w:bottom w:val="single" w:color="auto" w:sz="4" w:space="0"/>
              <w:right w:val="single" w:color="auto" w:sz="4" w:space="0"/>
            </w:tcBorders>
            <w:vAlign w:val="top"/>
          </w:tcPr>
          <w:p>
            <w:pPr>
              <w:pStyle w:val="6"/>
              <w:spacing w:beforeLines="0" w:afterLines="0" w:line="2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 xml:space="preserve">   </w:t>
            </w:r>
          </w:p>
          <w:p>
            <w:pPr>
              <w:pStyle w:val="6"/>
              <w:spacing w:beforeLines="0" w:afterLines="0" w:line="2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1.适用的法律依据应当正确、现行有效，符合法律适用原则。</w:t>
            </w:r>
          </w:p>
          <w:p>
            <w:pPr>
              <w:pStyle w:val="6"/>
              <w:spacing w:beforeLines="0" w:afterLines="0" w:line="2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2.作出行政处罚的依据必须符合有关法律、法规、规章的规定。</w:t>
            </w:r>
          </w:p>
          <w:p>
            <w:pPr>
              <w:pStyle w:val="6"/>
              <w:spacing w:beforeLines="0" w:afterLines="0" w:line="2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3.执法文书中引用的法律、法规、规章名称应当规范，引用依据条、款、项内容准确、完整。</w:t>
            </w:r>
          </w:p>
        </w:tc>
        <w:tc>
          <w:tcPr>
            <w:tcW w:w="6604" w:type="dxa"/>
            <w:tcBorders>
              <w:top w:val="single" w:color="auto" w:sz="4" w:space="0"/>
              <w:left w:val="single" w:color="auto" w:sz="4" w:space="0"/>
              <w:bottom w:val="single" w:color="auto" w:sz="4" w:space="0"/>
              <w:right w:val="single" w:color="auto" w:sz="4" w:space="0"/>
            </w:tcBorders>
            <w:vAlign w:val="top"/>
          </w:tcPr>
          <w:p>
            <w:pPr>
              <w:pStyle w:val="6"/>
              <w:spacing w:beforeLines="0" w:afterLines="0" w:line="2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1.行政处罚无法律依据或适用失效的法律依据</w:t>
            </w:r>
            <w:r>
              <w:rPr>
                <w:rFonts w:hint="eastAsia" w:ascii="仿宋_GB2312" w:hAnsi="宋体" w:eastAsia="仿宋_GB2312"/>
                <w:color w:val="auto"/>
                <w:szCs w:val="21"/>
                <w:lang w:eastAsia="zh-CN"/>
              </w:rPr>
              <w:t>，直接判定为不合格卷</w:t>
            </w:r>
            <w:r>
              <w:rPr>
                <w:rFonts w:hint="eastAsia" w:ascii="仿宋_GB2312" w:hAnsi="宋体" w:eastAsia="仿宋_GB2312"/>
                <w:color w:val="auto"/>
                <w:szCs w:val="21"/>
              </w:rPr>
              <w:t>；对同一违法行为处罚依据有抵触时，应适用而未适用上位法或特别法或新法实施处罚的扣</w:t>
            </w:r>
            <w:r>
              <w:rPr>
                <w:rFonts w:hint="eastAsia" w:ascii="仿宋_GB2312" w:hAnsi="宋体" w:eastAsia="仿宋_GB2312"/>
                <w:color w:val="auto"/>
                <w:szCs w:val="21"/>
                <w:lang w:val="en-US" w:eastAsia="zh-CN"/>
              </w:rPr>
              <w:t>10</w:t>
            </w:r>
            <w:r>
              <w:rPr>
                <w:rFonts w:hint="eastAsia" w:ascii="仿宋_GB2312" w:hAnsi="宋体" w:eastAsia="仿宋_GB2312"/>
                <w:color w:val="auto"/>
                <w:szCs w:val="21"/>
              </w:rPr>
              <w:t>分。</w:t>
            </w:r>
          </w:p>
          <w:p>
            <w:pPr>
              <w:pStyle w:val="6"/>
              <w:spacing w:beforeLines="0" w:afterLines="0" w:line="2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2.实施行政处罚所依据的法律条款适用不完整且在处罚裁量时未予以说明的扣3分。</w:t>
            </w:r>
          </w:p>
          <w:p>
            <w:pPr>
              <w:pStyle w:val="6"/>
              <w:spacing w:beforeLines="0" w:afterLines="0" w:line="28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3.引用法律、法规、规章应具体到条、款、项而未写明的扣2分；名称表述不规范的扣1分。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pStyle w:val="6"/>
              <w:spacing w:beforeLines="0" w:afterLines="0" w:line="320" w:lineRule="exact"/>
              <w:jc w:val="center"/>
              <w:rPr>
                <w:rFonts w:hint="eastAsia" w:ascii="宋体" w:hAnsi="宋体" w:eastAsia="宋体"/>
                <w:b/>
                <w:bCs/>
                <w:color w:val="auto"/>
                <w:szCs w:val="21"/>
                <w:lang w:eastAsia="zh-CN"/>
              </w:rPr>
            </w:pPr>
            <w:r>
              <w:rPr>
                <w:rFonts w:hint="eastAsia" w:ascii="宋体" w:hAnsi="宋体"/>
                <w:b/>
                <w:bCs/>
                <w:color w:val="auto"/>
                <w:szCs w:val="21"/>
                <w:lang w:eastAsia="zh-CN"/>
              </w:rPr>
              <w:t>定性准确</w:t>
            </w:r>
          </w:p>
        </w:tc>
        <w:tc>
          <w:tcPr>
            <w:tcW w:w="7548" w:type="dxa"/>
            <w:tcBorders>
              <w:top w:val="single" w:color="auto" w:sz="4" w:space="0"/>
              <w:left w:val="single" w:color="auto" w:sz="4" w:space="0"/>
              <w:bottom w:val="single" w:color="auto" w:sz="4" w:space="0"/>
              <w:right w:val="single" w:color="auto" w:sz="4" w:space="0"/>
            </w:tcBorders>
            <w:vAlign w:val="top"/>
          </w:tcPr>
          <w:p>
            <w:pPr>
              <w:pStyle w:val="6"/>
              <w:numPr>
                <w:ilvl w:val="0"/>
                <w:numId w:val="1"/>
              </w:numPr>
              <w:spacing w:beforeLines="0" w:afterLines="0" w:line="320" w:lineRule="exact"/>
              <w:ind w:firstLine="420" w:firstLineChars="200"/>
              <w:rPr>
                <w:rFonts w:hint="eastAsia" w:ascii="仿宋_GB2312" w:hAnsi="宋体" w:eastAsia="仿宋_GB2312"/>
                <w:color w:val="auto"/>
                <w:kern w:val="0"/>
                <w:szCs w:val="21"/>
                <w:lang w:eastAsia="zh-CN"/>
              </w:rPr>
            </w:pPr>
            <w:r>
              <w:rPr>
                <w:rFonts w:hint="eastAsia" w:ascii="仿宋_GB2312" w:hAnsi="宋体" w:eastAsia="仿宋_GB2312"/>
                <w:color w:val="auto"/>
                <w:kern w:val="0"/>
                <w:szCs w:val="21"/>
              </w:rPr>
              <w:t>违法行为在法定追诉时效内未被发现的，不再给予行政处罚</w:t>
            </w:r>
            <w:r>
              <w:rPr>
                <w:rFonts w:hint="eastAsia" w:ascii="仿宋_GB2312" w:hAnsi="宋体" w:eastAsia="仿宋_GB2312"/>
                <w:color w:val="auto"/>
                <w:kern w:val="0"/>
                <w:szCs w:val="21"/>
                <w:lang w:eastAsia="zh-CN"/>
              </w:rPr>
              <w:t>。</w:t>
            </w:r>
          </w:p>
          <w:p>
            <w:pPr>
              <w:pStyle w:val="6"/>
              <w:numPr>
                <w:ilvl w:val="0"/>
                <w:numId w:val="1"/>
              </w:numPr>
              <w:spacing w:beforeLines="0" w:afterLines="0" w:line="32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执法文书中应当体现出说理性内容，说明事理、情理和法理。主要包括：</w:t>
            </w:r>
          </w:p>
          <w:p>
            <w:pPr>
              <w:pStyle w:val="6"/>
              <w:spacing w:beforeLines="0" w:afterLines="0" w:line="32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（1）对违法行为构成要件、因果关系和违法事实认定过程等应当陈述清楚；</w:t>
            </w:r>
          </w:p>
          <w:p>
            <w:pPr>
              <w:pStyle w:val="6"/>
              <w:spacing w:beforeLines="0" w:afterLines="0" w:line="32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 xml:space="preserve">（2）阐述证据形式和证据所要证明的内容； </w:t>
            </w:r>
          </w:p>
          <w:p>
            <w:pPr>
              <w:pStyle w:val="6"/>
              <w:spacing w:beforeLines="0" w:afterLines="0" w:line="32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 xml:space="preserve">（3）适用法律依据时应当完整地引用定性依据和处罚依据； </w:t>
            </w:r>
          </w:p>
          <w:p>
            <w:pPr>
              <w:pStyle w:val="6"/>
              <w:spacing w:beforeLines="0" w:afterLines="0" w:line="32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（4）对当事人陈述申辩的理由、证据或听证的过程、结论及行政机关是否采纳意见的理由、依据等，应当详细阐述，当事人放弃陈述申辩或听证的应予以说明；</w:t>
            </w:r>
          </w:p>
          <w:p>
            <w:pPr>
              <w:pStyle w:val="6"/>
              <w:spacing w:beforeLines="0" w:afterLines="0" w:line="320" w:lineRule="exact"/>
              <w:rPr>
                <w:rFonts w:ascii="仿宋_GB2312" w:hAnsi="宋体" w:eastAsia="仿宋_GB2312"/>
                <w:color w:val="auto"/>
                <w:szCs w:val="21"/>
              </w:rPr>
            </w:pPr>
            <w:r>
              <w:rPr>
                <w:rFonts w:hint="eastAsia" w:ascii="仿宋_GB2312" w:hAnsi="宋体" w:eastAsia="仿宋_GB2312"/>
                <w:color w:val="auto"/>
                <w:szCs w:val="21"/>
              </w:rPr>
              <w:t xml:space="preserve">    （5）对违法行为作出从重、从轻或减轻处罚时，应当在案件合议记录、重大案件集体讨论记录以及处罚决定书中说明作出裁量的具体理由和依据。</w:t>
            </w:r>
          </w:p>
          <w:p>
            <w:pPr>
              <w:pStyle w:val="6"/>
              <w:spacing w:beforeLines="0" w:afterLines="0" w:line="320" w:lineRule="exact"/>
              <w:ind w:firstLine="420" w:firstLineChars="200"/>
              <w:rPr>
                <w:rFonts w:hint="eastAsia" w:ascii="仿宋_GB2312" w:hAnsi="宋体" w:eastAsia="仿宋_GB2312"/>
                <w:color w:val="auto"/>
                <w:szCs w:val="21"/>
                <w:lang w:val="en-US" w:eastAsia="zh-CN"/>
              </w:rPr>
            </w:pPr>
            <w:r>
              <w:rPr>
                <w:rFonts w:hint="eastAsia" w:ascii="仿宋_GB2312" w:hAnsi="宋体" w:eastAsia="仿宋_GB2312"/>
                <w:color w:val="auto"/>
                <w:szCs w:val="21"/>
                <w:lang w:val="en-US" w:eastAsia="zh-CN"/>
              </w:rPr>
              <w:t>3</w:t>
            </w:r>
            <w:r>
              <w:rPr>
                <w:rFonts w:hint="eastAsia" w:ascii="仿宋_GB2312" w:hAnsi="宋体" w:eastAsia="仿宋_GB2312"/>
                <w:color w:val="auto"/>
                <w:szCs w:val="21"/>
              </w:rPr>
              <w:t>.说理应简洁明了、用词准确，逻辑性强。</w:t>
            </w:r>
          </w:p>
        </w:tc>
        <w:tc>
          <w:tcPr>
            <w:tcW w:w="6604" w:type="dxa"/>
            <w:tcBorders>
              <w:top w:val="single" w:color="auto" w:sz="4" w:space="0"/>
              <w:left w:val="single" w:color="auto" w:sz="4" w:space="0"/>
              <w:bottom w:val="single" w:color="auto" w:sz="4" w:space="0"/>
              <w:right w:val="single" w:color="auto" w:sz="4" w:space="0"/>
            </w:tcBorders>
            <w:vAlign w:val="center"/>
          </w:tcPr>
          <w:p>
            <w:pPr>
              <w:pStyle w:val="6"/>
              <w:spacing w:beforeLines="0" w:afterLines="0" w:line="320" w:lineRule="exact"/>
              <w:ind w:left="0" w:leftChars="0"/>
              <w:rPr>
                <w:rFonts w:hint="eastAsia" w:ascii="仿宋_GB2312" w:hAnsi="宋体" w:eastAsia="仿宋_GB2312"/>
                <w:color w:val="auto"/>
                <w:kern w:val="0"/>
                <w:szCs w:val="21"/>
              </w:rPr>
            </w:pPr>
            <w:r>
              <w:rPr>
                <w:rFonts w:hint="eastAsia" w:ascii="仿宋_GB2312" w:hAnsi="宋体" w:eastAsia="仿宋_GB2312"/>
                <w:color w:val="auto"/>
                <w:kern w:val="0"/>
                <w:szCs w:val="21"/>
                <w:lang w:val="en-US" w:eastAsia="zh-CN"/>
              </w:rPr>
              <w:t xml:space="preserve">    1.</w:t>
            </w:r>
            <w:r>
              <w:rPr>
                <w:rFonts w:hint="eastAsia" w:ascii="仿宋_GB2312" w:hAnsi="宋体" w:eastAsia="仿宋_GB2312"/>
                <w:color w:val="auto"/>
                <w:kern w:val="0"/>
                <w:szCs w:val="21"/>
              </w:rPr>
              <w:t>超过法定追诉时效给予行政处罚的</w:t>
            </w:r>
            <w:r>
              <w:rPr>
                <w:rFonts w:hint="eastAsia" w:ascii="仿宋_GB2312" w:hAnsi="宋体" w:eastAsia="仿宋_GB2312"/>
                <w:color w:val="auto"/>
                <w:szCs w:val="21"/>
                <w:lang w:eastAsia="zh-CN"/>
              </w:rPr>
              <w:t>直接判定为不合格卷</w:t>
            </w:r>
            <w:r>
              <w:rPr>
                <w:rFonts w:hint="eastAsia" w:ascii="仿宋_GB2312" w:hAnsi="宋体" w:eastAsia="仿宋_GB2312"/>
                <w:color w:val="auto"/>
                <w:kern w:val="0"/>
                <w:szCs w:val="21"/>
              </w:rPr>
              <w:t>。</w:t>
            </w:r>
          </w:p>
          <w:p>
            <w:pPr>
              <w:pStyle w:val="6"/>
              <w:spacing w:beforeLines="0" w:afterLines="0" w:line="320" w:lineRule="exact"/>
              <w:ind w:firstLine="420" w:firstLineChars="200"/>
              <w:rPr>
                <w:rFonts w:ascii="仿宋_GB2312" w:hAnsi="宋体" w:eastAsia="仿宋_GB2312"/>
                <w:color w:val="auto"/>
                <w:szCs w:val="21"/>
              </w:rPr>
            </w:pPr>
            <w:r>
              <w:rPr>
                <w:rFonts w:hint="eastAsia" w:ascii="仿宋_GB2312" w:hAnsi="宋体" w:eastAsia="仿宋_GB2312"/>
                <w:color w:val="auto"/>
                <w:szCs w:val="21"/>
                <w:lang w:val="en-US" w:eastAsia="zh-CN"/>
              </w:rPr>
              <w:t>2.</w:t>
            </w:r>
            <w:r>
              <w:rPr>
                <w:rFonts w:hint="eastAsia" w:ascii="仿宋_GB2312" w:hAnsi="宋体" w:eastAsia="仿宋_GB2312"/>
                <w:color w:val="auto"/>
                <w:szCs w:val="21"/>
              </w:rPr>
              <w:t>对当事人在陈述、申辩和质证中提出的事实、理由和证据，采纳或不予采纳未说明理由和依据的扣5分。</w:t>
            </w:r>
          </w:p>
          <w:p>
            <w:pPr>
              <w:pStyle w:val="6"/>
              <w:spacing w:beforeLines="0" w:afterLines="0" w:line="320" w:lineRule="exact"/>
              <w:ind w:firstLine="420" w:firstLineChars="200"/>
              <w:rPr>
                <w:rFonts w:hint="eastAsia" w:ascii="仿宋_GB2312" w:hAnsi="宋体" w:eastAsia="仿宋_GB2312"/>
                <w:color w:val="auto"/>
                <w:szCs w:val="21"/>
                <w:lang w:val="en-US" w:eastAsia="zh-CN"/>
              </w:rPr>
            </w:pPr>
            <w:r>
              <w:rPr>
                <w:rFonts w:hint="eastAsia" w:ascii="仿宋_GB2312" w:hAnsi="宋体" w:eastAsia="仿宋_GB2312"/>
                <w:color w:val="auto"/>
                <w:szCs w:val="21"/>
                <w:lang w:val="en-US" w:eastAsia="zh-CN"/>
              </w:rPr>
              <w:t>3.</w:t>
            </w:r>
            <w:r>
              <w:rPr>
                <w:rFonts w:hint="eastAsia" w:ascii="仿宋_GB2312" w:hAnsi="宋体" w:eastAsia="仿宋_GB2312"/>
                <w:color w:val="auto"/>
                <w:szCs w:val="21"/>
              </w:rPr>
              <w:t>在案件合议记录、重大案件集体讨论记录和行政处罚决定书中对作出从重、从轻或减轻处罚未说明裁量理由和依据的扣</w:t>
            </w:r>
            <w:r>
              <w:rPr>
                <w:rFonts w:hint="eastAsia" w:ascii="仿宋_GB2312" w:hAnsi="宋体" w:eastAsia="仿宋_GB2312"/>
                <w:color w:val="auto"/>
                <w:szCs w:val="21"/>
                <w:lang w:val="en-US" w:eastAsia="zh-CN"/>
              </w:rPr>
              <w:t>3</w:t>
            </w:r>
            <w:r>
              <w:rPr>
                <w:rFonts w:hint="eastAsia" w:ascii="仿宋_GB2312" w:hAnsi="宋体" w:eastAsia="仿宋_GB2312"/>
                <w:color w:val="auto"/>
                <w:szCs w:val="21"/>
              </w:rPr>
              <w:t>分；说理不充分或依据不准确的扣</w:t>
            </w:r>
            <w:r>
              <w:rPr>
                <w:rFonts w:hint="eastAsia" w:ascii="仿宋_GB2312" w:hAnsi="宋体" w:eastAsia="仿宋_GB2312"/>
                <w:color w:val="auto"/>
                <w:szCs w:val="21"/>
                <w:lang w:val="en-US" w:eastAsia="zh-CN"/>
              </w:rPr>
              <w:t>2</w:t>
            </w:r>
            <w:r>
              <w:rPr>
                <w:rFonts w:hint="eastAsia" w:ascii="仿宋_GB2312" w:hAnsi="宋体" w:eastAsia="仿宋_GB2312"/>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pStyle w:val="6"/>
              <w:spacing w:beforeLines="0" w:afterLines="0" w:line="320" w:lineRule="exact"/>
              <w:jc w:val="center"/>
              <w:rPr>
                <w:rFonts w:ascii="宋体" w:hAnsi="宋体"/>
                <w:b/>
                <w:bCs/>
                <w:color w:val="auto"/>
                <w:szCs w:val="21"/>
              </w:rPr>
            </w:pPr>
            <w:r>
              <w:rPr>
                <w:rFonts w:hint="eastAsia" w:ascii="宋体" w:hAnsi="宋体"/>
                <w:b/>
                <w:bCs/>
                <w:color w:val="auto"/>
                <w:szCs w:val="21"/>
                <w:lang w:eastAsia="zh-CN"/>
              </w:rPr>
              <w:t>文书制作</w:t>
            </w:r>
          </w:p>
        </w:tc>
        <w:tc>
          <w:tcPr>
            <w:tcW w:w="7548" w:type="dxa"/>
            <w:tcBorders>
              <w:top w:val="single" w:color="auto" w:sz="4" w:space="0"/>
              <w:left w:val="single" w:color="auto" w:sz="4" w:space="0"/>
              <w:bottom w:val="single" w:color="auto" w:sz="4" w:space="0"/>
              <w:right w:val="single" w:color="auto" w:sz="4" w:space="0"/>
            </w:tcBorders>
            <w:vAlign w:val="center"/>
          </w:tcPr>
          <w:p>
            <w:pPr>
              <w:pStyle w:val="6"/>
              <w:spacing w:beforeLines="0" w:afterLines="0" w:line="320" w:lineRule="exact"/>
              <w:ind w:firstLine="0" w:firstLineChars="0"/>
              <w:rPr>
                <w:rFonts w:ascii="仿宋_GB2312" w:hAnsi="宋体" w:eastAsia="仿宋_GB2312"/>
                <w:color w:val="auto"/>
                <w:szCs w:val="21"/>
              </w:rPr>
            </w:pPr>
            <w:r>
              <w:rPr>
                <w:rFonts w:hint="eastAsia" w:ascii="仿宋_GB2312" w:hAnsi="宋体" w:eastAsia="仿宋_GB2312"/>
                <w:color w:val="auto"/>
                <w:szCs w:val="21"/>
                <w:lang w:val="en-US" w:eastAsia="zh-CN"/>
              </w:rPr>
              <w:t xml:space="preserve">    </w:t>
            </w:r>
            <w:r>
              <w:rPr>
                <w:rFonts w:hint="eastAsia" w:ascii="仿宋_GB2312" w:hAnsi="宋体" w:eastAsia="仿宋_GB2312"/>
                <w:color w:val="auto"/>
                <w:szCs w:val="21"/>
              </w:rPr>
              <w:t>1.执法文书制作应当符合国家</w:t>
            </w:r>
            <w:r>
              <w:rPr>
                <w:rFonts w:hint="eastAsia" w:ascii="仿宋_GB2312" w:hAnsi="宋体" w:eastAsia="仿宋_GB2312"/>
                <w:color w:val="auto"/>
                <w:szCs w:val="21"/>
                <w:lang w:eastAsia="zh-CN"/>
              </w:rPr>
              <w:t>市场监管总局行政处罚</w:t>
            </w:r>
            <w:r>
              <w:rPr>
                <w:rFonts w:hint="eastAsia" w:ascii="仿宋_GB2312" w:hAnsi="宋体" w:eastAsia="仿宋_GB2312"/>
                <w:color w:val="auto"/>
                <w:szCs w:val="21"/>
              </w:rPr>
              <w:t>文书规范和</w:t>
            </w:r>
            <w:r>
              <w:rPr>
                <w:rFonts w:hint="eastAsia" w:ascii="仿宋_GB2312" w:hAnsi="宋体" w:eastAsia="仿宋_GB2312"/>
                <w:color w:val="auto"/>
                <w:szCs w:val="21"/>
                <w:lang w:eastAsia="zh-CN"/>
              </w:rPr>
              <w:t>本办法的</w:t>
            </w:r>
            <w:r>
              <w:rPr>
                <w:rFonts w:hint="eastAsia" w:ascii="仿宋_GB2312" w:hAnsi="宋体" w:eastAsia="仿宋_GB2312"/>
                <w:color w:val="auto"/>
                <w:szCs w:val="21"/>
              </w:rPr>
              <w:t>有关要求。</w:t>
            </w:r>
          </w:p>
          <w:p>
            <w:pPr>
              <w:pStyle w:val="6"/>
              <w:spacing w:beforeLines="0" w:afterLines="0" w:line="32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2.手写的执法文书，应当使用黑色、蓝黑色钢笔或中性笔填写，并做到字迹工整清楚；</w:t>
            </w:r>
            <w:r>
              <w:rPr>
                <w:rFonts w:hint="eastAsia" w:ascii="仿宋_GB2312" w:eastAsia="仿宋_GB2312"/>
                <w:color w:val="auto"/>
              </w:rPr>
              <w:t>当事人提供的证据材料用铅笔或圆珠笔书写的，应当复印后入卷。</w:t>
            </w:r>
          </w:p>
          <w:p>
            <w:pPr>
              <w:pStyle w:val="6"/>
              <w:spacing w:beforeLines="0" w:afterLines="0" w:line="32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3.打印的执法文书，须由当事人或执法人员等签名的，应当由相关人员本人亲笔签名。</w:t>
            </w:r>
          </w:p>
          <w:p>
            <w:pPr>
              <w:pStyle w:val="6"/>
              <w:spacing w:beforeLines="0" w:afterLines="0" w:line="32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4.对外使用的执法文书必须有</w:t>
            </w:r>
            <w:r>
              <w:rPr>
                <w:rFonts w:hint="eastAsia" w:ascii="仿宋_GB2312" w:hAnsi="宋体" w:eastAsia="仿宋_GB2312"/>
                <w:color w:val="auto"/>
                <w:szCs w:val="21"/>
                <w:lang w:eastAsia="zh-CN"/>
              </w:rPr>
              <w:t>行政处罚</w:t>
            </w:r>
            <w:r>
              <w:rPr>
                <w:rFonts w:hint="eastAsia" w:ascii="仿宋_GB2312" w:hAnsi="宋体" w:eastAsia="仿宋_GB2312"/>
                <w:color w:val="auto"/>
                <w:szCs w:val="21"/>
              </w:rPr>
              <w:t>机关名称，加盖</w:t>
            </w:r>
            <w:r>
              <w:rPr>
                <w:rFonts w:hint="eastAsia" w:ascii="仿宋_GB2312" w:hAnsi="宋体" w:eastAsia="仿宋_GB2312"/>
                <w:color w:val="auto"/>
                <w:szCs w:val="21"/>
                <w:lang w:eastAsia="zh-CN"/>
              </w:rPr>
              <w:t>行政处罚</w:t>
            </w:r>
            <w:r>
              <w:rPr>
                <w:rFonts w:hint="eastAsia" w:ascii="仿宋_GB2312" w:hAnsi="宋体" w:eastAsia="仿宋_GB2312"/>
                <w:color w:val="auto"/>
                <w:szCs w:val="21"/>
              </w:rPr>
              <w:t>机关的印章，标明日期。</w:t>
            </w:r>
          </w:p>
          <w:p>
            <w:pPr>
              <w:pStyle w:val="7"/>
              <w:spacing w:beforeLines="0" w:afterLines="0" w:line="320" w:lineRule="exact"/>
              <w:ind w:firstLine="420" w:firstLineChars="200"/>
              <w:rPr>
                <w:rFonts w:ascii="仿宋_GB2312" w:eastAsia="仿宋_GB2312"/>
                <w:color w:val="auto"/>
              </w:rPr>
            </w:pPr>
            <w:r>
              <w:rPr>
                <w:rFonts w:hint="eastAsia" w:ascii="仿宋_GB2312" w:eastAsia="仿宋_GB2312"/>
                <w:color w:val="auto"/>
              </w:rPr>
              <w:t>5.卷内材料按行政处罚程序的客观进程或形成文书的时间自然顺序进行排列。</w:t>
            </w:r>
          </w:p>
          <w:p>
            <w:pPr>
              <w:pStyle w:val="7"/>
              <w:spacing w:beforeLines="0" w:afterLines="0" w:line="320" w:lineRule="exact"/>
              <w:ind w:firstLine="420" w:firstLineChars="200"/>
              <w:rPr>
                <w:rFonts w:ascii="仿宋_GB2312" w:eastAsia="仿宋_GB2312"/>
                <w:color w:val="auto"/>
              </w:rPr>
            </w:pPr>
            <w:r>
              <w:rPr>
                <w:rFonts w:hint="eastAsia" w:ascii="仿宋_GB2312" w:eastAsia="仿宋_GB2312"/>
                <w:color w:val="auto"/>
              </w:rPr>
              <w:t>6.案卷应整洁，纸张无破损，大小规格统一，装订整齐，无金属物。</w:t>
            </w:r>
          </w:p>
          <w:p>
            <w:pPr>
              <w:pStyle w:val="7"/>
              <w:spacing w:beforeLines="0" w:afterLines="0" w:line="320" w:lineRule="exact"/>
              <w:rPr>
                <w:rFonts w:ascii="仿宋_GB2312" w:eastAsia="仿宋_GB2312"/>
                <w:color w:val="auto"/>
              </w:rPr>
            </w:pPr>
            <w:r>
              <w:rPr>
                <w:rFonts w:hint="eastAsia" w:ascii="仿宋_GB2312" w:eastAsia="仿宋_GB2312"/>
                <w:color w:val="auto"/>
              </w:rPr>
              <w:t xml:space="preserve">    7.卷内文书采用阿拉伯数字逐页编写页码。</w:t>
            </w:r>
          </w:p>
          <w:p>
            <w:pPr>
              <w:pStyle w:val="7"/>
              <w:spacing w:beforeLines="0" w:afterLines="0" w:line="320" w:lineRule="exact"/>
              <w:rPr>
                <w:rFonts w:ascii="仿宋_GB2312" w:hAnsi="宋体" w:eastAsia="仿宋_GB2312"/>
                <w:color w:val="auto"/>
                <w:szCs w:val="21"/>
              </w:rPr>
            </w:pPr>
            <w:r>
              <w:rPr>
                <w:rFonts w:hint="eastAsia" w:ascii="仿宋_GB2312" w:eastAsia="仿宋_GB2312"/>
                <w:color w:val="auto"/>
              </w:rPr>
              <w:t xml:space="preserve">    8.</w:t>
            </w:r>
            <w:r>
              <w:rPr>
                <w:rFonts w:hint="eastAsia" w:ascii="仿宋_GB2312" w:hAnsi="宋体" w:eastAsia="仿宋_GB2312"/>
                <w:color w:val="auto"/>
                <w:szCs w:val="21"/>
              </w:rPr>
              <w:t>案卷应及时归档，并按规定准确划分保管期限。</w:t>
            </w:r>
          </w:p>
          <w:p>
            <w:pPr>
              <w:pStyle w:val="7"/>
              <w:spacing w:beforeLines="0" w:afterLines="0" w:line="320" w:lineRule="exact"/>
              <w:ind w:firstLine="420" w:firstLineChars="200"/>
              <w:rPr>
                <w:rFonts w:ascii="仿宋_GB2312" w:eastAsia="仿宋_GB2312"/>
                <w:color w:val="auto"/>
              </w:rPr>
            </w:pPr>
            <w:r>
              <w:rPr>
                <w:rFonts w:hint="eastAsia" w:ascii="仿宋_GB2312" w:hAnsi="宋体" w:eastAsia="仿宋_GB2312"/>
                <w:color w:val="auto"/>
                <w:szCs w:val="21"/>
              </w:rPr>
              <w:t>9.</w:t>
            </w:r>
            <w:r>
              <w:rPr>
                <w:rFonts w:hint="eastAsia" w:ascii="仿宋_GB2312" w:eastAsia="仿宋_GB2312"/>
                <w:color w:val="auto"/>
              </w:rPr>
              <w:t>行政处罚案卷应当一案一卷，一卷一号。</w:t>
            </w:r>
          </w:p>
          <w:p>
            <w:pPr>
              <w:pStyle w:val="7"/>
              <w:spacing w:beforeLines="0" w:afterLines="0" w:line="320" w:lineRule="exact"/>
              <w:ind w:firstLine="420" w:firstLineChars="200"/>
              <w:rPr>
                <w:rFonts w:ascii="仿宋_GB2312" w:hAnsi="宋体" w:eastAsia="仿宋_GB2312"/>
                <w:color w:val="auto"/>
                <w:szCs w:val="21"/>
              </w:rPr>
            </w:pPr>
            <w:r>
              <w:rPr>
                <w:rFonts w:hint="eastAsia" w:ascii="仿宋_GB2312" w:eastAsia="仿宋_GB2312"/>
                <w:color w:val="auto"/>
              </w:rPr>
              <w:t>10.案卷卷皮应当统一规范。</w:t>
            </w:r>
          </w:p>
        </w:tc>
        <w:tc>
          <w:tcPr>
            <w:tcW w:w="6604" w:type="dxa"/>
            <w:tcBorders>
              <w:top w:val="single" w:color="auto" w:sz="4" w:space="0"/>
              <w:left w:val="single" w:color="auto" w:sz="4" w:space="0"/>
              <w:bottom w:val="single" w:color="auto" w:sz="4" w:space="0"/>
              <w:right w:val="single" w:color="auto" w:sz="4" w:space="0"/>
            </w:tcBorders>
            <w:vAlign w:val="center"/>
          </w:tcPr>
          <w:p>
            <w:pPr>
              <w:pStyle w:val="6"/>
              <w:spacing w:beforeLines="0" w:afterLines="0" w:line="320" w:lineRule="exact"/>
              <w:jc w:val="both"/>
              <w:rPr>
                <w:rFonts w:ascii="仿宋_GB2312" w:hAnsi="宋体" w:eastAsia="仿宋_GB2312"/>
                <w:color w:val="auto"/>
                <w:szCs w:val="21"/>
              </w:rPr>
            </w:pPr>
            <w:r>
              <w:rPr>
                <w:rFonts w:hint="eastAsia" w:ascii="仿宋_GB2312" w:hAnsi="宋体" w:eastAsia="仿宋_GB2312"/>
                <w:color w:val="auto"/>
                <w:szCs w:val="21"/>
              </w:rPr>
              <w:t xml:space="preserve"> </w:t>
            </w:r>
            <w:r>
              <w:rPr>
                <w:rFonts w:hint="eastAsia" w:ascii="仿宋_GB2312" w:hAnsi="宋体" w:eastAsia="仿宋_GB2312"/>
                <w:color w:val="auto"/>
                <w:szCs w:val="21"/>
                <w:lang w:val="en-US" w:eastAsia="zh-CN"/>
              </w:rPr>
              <w:t xml:space="preserve">   </w:t>
            </w:r>
            <w:r>
              <w:rPr>
                <w:rFonts w:hint="eastAsia" w:ascii="仿宋_GB2312" w:hAnsi="宋体" w:eastAsia="仿宋_GB2312"/>
                <w:color w:val="auto"/>
                <w:szCs w:val="21"/>
              </w:rPr>
              <w:t>1.执法文书内容填写错误或要素填写不全的每处扣1分；内容填写不规范、不完整的每处扣0.5分。</w:t>
            </w:r>
          </w:p>
          <w:p>
            <w:pPr>
              <w:pStyle w:val="6"/>
              <w:spacing w:beforeLines="0" w:afterLines="0" w:line="320" w:lineRule="exact"/>
              <w:rPr>
                <w:rFonts w:ascii="仿宋_GB2312" w:hAnsi="宋体" w:eastAsia="仿宋_GB2312"/>
                <w:color w:val="auto"/>
                <w:szCs w:val="21"/>
              </w:rPr>
            </w:pPr>
            <w:r>
              <w:rPr>
                <w:rFonts w:hint="eastAsia" w:ascii="仿宋_GB2312" w:hAnsi="宋体" w:eastAsia="仿宋_GB2312"/>
                <w:color w:val="auto"/>
                <w:szCs w:val="21"/>
              </w:rPr>
              <w:t xml:space="preserve">    2.执法文书材料未按规定签字、盖章、标注日期（或日期标注错误）、签署意见或应由当事人签字他人代签的扣1分。</w:t>
            </w:r>
          </w:p>
          <w:p>
            <w:pPr>
              <w:pStyle w:val="6"/>
              <w:spacing w:beforeLines="0" w:afterLines="0" w:line="320" w:lineRule="exact"/>
              <w:rPr>
                <w:rFonts w:ascii="仿宋_GB2312" w:hAnsi="宋体" w:eastAsia="仿宋_GB2312"/>
                <w:color w:val="auto"/>
                <w:szCs w:val="21"/>
              </w:rPr>
            </w:pPr>
            <w:r>
              <w:rPr>
                <w:rFonts w:hint="eastAsia" w:ascii="仿宋_GB2312" w:hAnsi="宋体" w:eastAsia="仿宋_GB2312"/>
                <w:color w:val="auto"/>
                <w:szCs w:val="21"/>
              </w:rPr>
              <w:t xml:space="preserve">    3.卷宗无目录或目录与卷内材料不一致的扣1分。</w:t>
            </w:r>
          </w:p>
          <w:p>
            <w:pPr>
              <w:pStyle w:val="6"/>
              <w:spacing w:beforeLines="0" w:afterLines="0" w:line="320" w:lineRule="exact"/>
              <w:rPr>
                <w:rFonts w:ascii="仿宋_GB2312" w:hAnsi="宋体" w:eastAsia="仿宋_GB2312"/>
                <w:color w:val="auto"/>
                <w:szCs w:val="21"/>
              </w:rPr>
            </w:pPr>
            <w:r>
              <w:rPr>
                <w:rFonts w:hint="eastAsia" w:ascii="仿宋_GB2312" w:hAnsi="宋体" w:eastAsia="仿宋_GB2312"/>
                <w:color w:val="auto"/>
                <w:szCs w:val="21"/>
                <w:lang w:val="en-US" w:eastAsia="zh-CN"/>
              </w:rPr>
              <w:t xml:space="preserve">    </w:t>
            </w:r>
            <w:r>
              <w:rPr>
                <w:rFonts w:hint="eastAsia" w:ascii="仿宋_GB2312" w:hAnsi="宋体" w:eastAsia="仿宋_GB2312"/>
                <w:color w:val="auto"/>
                <w:szCs w:val="21"/>
              </w:rPr>
              <w:t>4.卷宗未标注页码或页码标注不规范的扣1分。</w:t>
            </w:r>
          </w:p>
          <w:p>
            <w:pPr>
              <w:pStyle w:val="6"/>
              <w:spacing w:beforeLines="0" w:afterLines="0" w:line="320" w:lineRule="exact"/>
              <w:rPr>
                <w:rFonts w:ascii="仿宋_GB2312" w:hAnsi="宋体" w:eastAsia="仿宋_GB2312"/>
                <w:color w:val="auto"/>
                <w:szCs w:val="21"/>
              </w:rPr>
            </w:pPr>
            <w:r>
              <w:rPr>
                <w:rFonts w:hint="eastAsia" w:ascii="仿宋_GB2312" w:hAnsi="宋体" w:eastAsia="仿宋_GB2312"/>
                <w:color w:val="auto"/>
                <w:szCs w:val="21"/>
                <w:lang w:val="en-US" w:eastAsia="zh-CN"/>
              </w:rPr>
              <w:t xml:space="preserve">    </w:t>
            </w:r>
            <w:r>
              <w:rPr>
                <w:rFonts w:hint="eastAsia" w:ascii="仿宋_GB2312" w:hAnsi="宋体" w:eastAsia="仿宋_GB2312"/>
                <w:color w:val="auto"/>
                <w:szCs w:val="21"/>
              </w:rPr>
              <w:t>5.卷内材料装订顺序混乱的扣1分。</w:t>
            </w:r>
          </w:p>
          <w:p>
            <w:pPr>
              <w:pStyle w:val="6"/>
              <w:numPr>
                <w:ilvl w:val="0"/>
                <w:numId w:val="0"/>
              </w:numPr>
              <w:spacing w:beforeLines="0" w:afterLines="0" w:line="320" w:lineRule="exact"/>
              <w:rPr>
                <w:rFonts w:hint="eastAsia" w:ascii="仿宋_GB2312" w:eastAsia="仿宋_GB2312"/>
                <w:color w:val="auto"/>
              </w:rPr>
            </w:pPr>
            <w:r>
              <w:rPr>
                <w:rFonts w:hint="eastAsia" w:ascii="仿宋_GB2312" w:hAnsi="宋体" w:eastAsia="仿宋_GB2312"/>
                <w:color w:val="auto"/>
                <w:szCs w:val="21"/>
                <w:lang w:val="en-US" w:eastAsia="zh-CN"/>
              </w:rPr>
              <w:t xml:space="preserve">    6.</w:t>
            </w:r>
            <w:r>
              <w:rPr>
                <w:rFonts w:hint="eastAsia" w:ascii="仿宋_GB2312" w:hAnsi="宋体" w:eastAsia="仿宋_GB2312"/>
                <w:color w:val="auto"/>
                <w:szCs w:val="21"/>
              </w:rPr>
              <w:t>文书材料</w:t>
            </w:r>
            <w:r>
              <w:rPr>
                <w:rFonts w:hint="eastAsia" w:ascii="仿宋_GB2312" w:eastAsia="仿宋_GB2312"/>
                <w:color w:val="auto"/>
              </w:rPr>
              <w:t>字迹潦草、难以辩认的扣1分。</w:t>
            </w:r>
          </w:p>
          <w:p>
            <w:pPr>
              <w:pStyle w:val="6"/>
              <w:numPr>
                <w:ilvl w:val="0"/>
                <w:numId w:val="0"/>
              </w:numPr>
              <w:spacing w:beforeLines="0" w:afterLines="0" w:line="320" w:lineRule="exact"/>
              <w:rPr>
                <w:rFonts w:ascii="仿宋_GB2312" w:eastAsia="仿宋_GB2312"/>
                <w:color w:val="auto"/>
              </w:rPr>
            </w:pPr>
            <w:r>
              <w:rPr>
                <w:rFonts w:hint="eastAsia" w:ascii="仿宋_GB2312" w:eastAsia="仿宋_GB2312"/>
                <w:color w:val="auto"/>
                <w:lang w:val="en-US" w:eastAsia="zh-CN"/>
              </w:rPr>
              <w:t xml:space="preserve">    </w:t>
            </w:r>
            <w:r>
              <w:rPr>
                <w:rFonts w:hint="eastAsia" w:ascii="仿宋_GB2312" w:eastAsia="仿宋_GB2312"/>
                <w:color w:val="auto"/>
              </w:rPr>
              <w:t>7</w:t>
            </w:r>
            <w:r>
              <w:rPr>
                <w:rFonts w:hint="eastAsia" w:ascii="仿宋_GB2312" w:hAnsi="宋体" w:eastAsia="仿宋_GB2312"/>
                <w:color w:val="auto"/>
                <w:szCs w:val="21"/>
              </w:rPr>
              <w:t>.</w:t>
            </w:r>
            <w:r>
              <w:rPr>
                <w:rFonts w:hint="eastAsia" w:ascii="仿宋_GB2312" w:eastAsia="仿宋_GB2312"/>
                <w:color w:val="auto"/>
              </w:rPr>
              <w:t>手写的文书材料用笔颜色不符合规定的扣1分。</w:t>
            </w:r>
          </w:p>
          <w:p>
            <w:pPr>
              <w:pStyle w:val="6"/>
              <w:spacing w:beforeLines="0" w:afterLines="0" w:line="320" w:lineRule="exact"/>
              <w:rPr>
                <w:rFonts w:ascii="仿宋_GB2312" w:hAnsi="宋体" w:eastAsia="仿宋_GB2312"/>
                <w:color w:val="auto"/>
                <w:szCs w:val="21"/>
              </w:rPr>
            </w:pPr>
            <w:r>
              <w:rPr>
                <w:rFonts w:hint="eastAsia" w:ascii="仿宋_GB2312" w:eastAsia="仿宋_GB2312"/>
                <w:color w:val="auto"/>
              </w:rPr>
              <w:t>8.</w:t>
            </w:r>
            <w:r>
              <w:rPr>
                <w:rFonts w:hint="eastAsia" w:ascii="仿宋_GB2312" w:hAnsi="宋体" w:eastAsia="仿宋_GB2312"/>
                <w:color w:val="auto"/>
                <w:szCs w:val="21"/>
              </w:rPr>
              <w:t>文书材料纸张破损、规格不统一或应存放原件而使用复印件，或有金属物的扣1分。</w:t>
            </w:r>
          </w:p>
          <w:p>
            <w:pPr>
              <w:pStyle w:val="6"/>
              <w:spacing w:beforeLines="0" w:afterLines="0" w:line="320" w:lineRule="exact"/>
              <w:rPr>
                <w:rFonts w:ascii="仿宋_GB2312" w:hAnsi="宋体" w:eastAsia="仿宋_GB2312"/>
                <w:color w:val="auto"/>
                <w:szCs w:val="21"/>
              </w:rPr>
            </w:pPr>
            <w:r>
              <w:rPr>
                <w:rFonts w:hint="eastAsia" w:ascii="仿宋_GB2312" w:hAnsi="宋体" w:eastAsia="仿宋_GB2312"/>
                <w:color w:val="auto"/>
                <w:szCs w:val="21"/>
              </w:rPr>
              <w:t>9.卷皮内容填写不全或不规范的扣1分。</w:t>
            </w:r>
          </w:p>
          <w:p>
            <w:pPr>
              <w:pStyle w:val="6"/>
              <w:spacing w:beforeLines="0" w:afterLines="0" w:line="320" w:lineRule="exact"/>
              <w:ind w:left="0" w:leftChars="0" w:firstLine="0" w:firstLineChars="0"/>
              <w:rPr>
                <w:rFonts w:ascii="仿宋_GB2312" w:hAnsi="宋体" w:eastAsia="仿宋_GB2312"/>
                <w:color w:val="auto"/>
                <w:szCs w:val="21"/>
              </w:rPr>
            </w:pPr>
            <w:r>
              <w:rPr>
                <w:rFonts w:hint="eastAsia" w:ascii="仿宋_GB2312" w:hAnsi="宋体" w:eastAsia="仿宋_GB2312"/>
                <w:color w:val="auto"/>
                <w:szCs w:val="21"/>
                <w:lang w:val="en-US" w:eastAsia="zh-CN"/>
              </w:rPr>
              <w:t xml:space="preserve">    </w:t>
            </w:r>
            <w:r>
              <w:rPr>
                <w:rFonts w:hint="eastAsia" w:ascii="仿宋_GB2312" w:hAnsi="宋体" w:eastAsia="仿宋_GB2312"/>
                <w:color w:val="auto"/>
                <w:szCs w:val="21"/>
              </w:rPr>
              <w:t>10.其他不符合案卷制作及归档规定要求的视情况酌情扣分。</w:t>
            </w:r>
          </w:p>
        </w:tc>
      </w:tr>
    </w:tbl>
    <w:p>
      <w:pPr>
        <w:pStyle w:val="6"/>
        <w:rPr>
          <w:color w:val="auto"/>
        </w:rPr>
      </w:pPr>
    </w:p>
    <w:p>
      <w:pPr>
        <w:pStyle w:val="6"/>
        <w:spacing w:line="360" w:lineRule="exact"/>
        <w:rPr>
          <w:rFonts w:ascii="仿宋_GB2312" w:eastAsia="仿宋_GB2312"/>
          <w:color w:val="auto"/>
          <w:szCs w:val="21"/>
        </w:rPr>
      </w:pPr>
      <w:r>
        <w:rPr>
          <w:rFonts w:hint="eastAsia" w:ascii="仿宋_GB2312" w:eastAsia="仿宋_GB2312"/>
          <w:color w:val="auto"/>
          <w:szCs w:val="21"/>
        </w:rPr>
        <w:t>备注：1.本标准适用一般程序的行政处罚案卷，总分为100分，实行扣分制。</w:t>
      </w:r>
    </w:p>
    <w:p>
      <w:pPr>
        <w:pStyle w:val="6"/>
        <w:spacing w:line="360" w:lineRule="exact"/>
        <w:rPr>
          <w:rFonts w:hint="eastAsia" w:ascii="仿宋_GB2312" w:eastAsia="仿宋_GB2312"/>
          <w:color w:val="auto"/>
          <w:szCs w:val="21"/>
        </w:rPr>
      </w:pPr>
      <w:r>
        <w:rPr>
          <w:rFonts w:hint="eastAsia" w:ascii="仿宋_GB2312" w:eastAsia="仿宋_GB2312"/>
          <w:color w:val="auto"/>
          <w:szCs w:val="21"/>
          <w:lang w:val="en-US" w:eastAsia="zh-CN"/>
        </w:rPr>
        <w:t xml:space="preserve">      2.</w:t>
      </w:r>
      <w:r>
        <w:rPr>
          <w:rFonts w:hint="eastAsia" w:ascii="仿宋_GB2312" w:eastAsia="仿宋_GB2312"/>
          <w:color w:val="auto"/>
          <w:szCs w:val="21"/>
        </w:rPr>
        <w:t>未如实提供执法案卷目录的扣</w:t>
      </w:r>
      <w:r>
        <w:rPr>
          <w:rFonts w:hint="eastAsia" w:ascii="仿宋_GB2312" w:eastAsia="仿宋_GB2312"/>
          <w:color w:val="auto"/>
          <w:szCs w:val="21"/>
          <w:lang w:val="en-US" w:eastAsia="zh-CN"/>
        </w:rPr>
        <w:t>10</w:t>
      </w:r>
      <w:r>
        <w:rPr>
          <w:rFonts w:hint="eastAsia" w:ascii="仿宋_GB2312" w:eastAsia="仿宋_GB2312"/>
          <w:color w:val="auto"/>
          <w:szCs w:val="21"/>
        </w:rPr>
        <w:t>分；不能提供抽查的执法案卷，每卷扣5分。</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F5500"/>
    <w:multiLevelType w:val="singleLevel"/>
    <w:tmpl w:val="5EDF55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415B5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rPr>
      <w:rFonts w:ascii="Calibri" w:hAnsi="Calibri" w:eastAsia="宋体" w:cs="Times New Roman"/>
      <w:b/>
      <w:sz w:val="44"/>
      <w:szCs w:val="44"/>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7">
    <w:name w:val="纯文本 New"/>
    <w:basedOn w:val="6"/>
    <w:qFormat/>
    <w:uiPriority w:val="0"/>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王祺</cp:lastModifiedBy>
  <dcterms:modified xsi:type="dcterms:W3CDTF">2020-07-06T07:03:11Z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