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801" w:leftChars="150" w:hanging="6486" w:hangingChars="2027"/>
        <w:jc w:val="center"/>
        <w:rPr>
          <w:rFonts w:ascii="方正小标宋_GBK" w:eastAsia="方正小标宋_GBK"/>
          <w:color w:val="FF0000"/>
          <w:sz w:val="32"/>
          <w:szCs w:val="32"/>
        </w:rPr>
      </w:pP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-1562735</wp:posOffset>
                </wp:positionH>
                <wp:positionV relativeFrom="paragraph">
                  <wp:posOffset>-456565</wp:posOffset>
                </wp:positionV>
                <wp:extent cx="6571615" cy="90805"/>
                <wp:effectExtent l="0" t="0" r="635" b="4445"/>
                <wp:wrapNone/>
                <wp:docPr id="1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615" cy="9080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23.05pt;margin-top:-35.95pt;height:7.15pt;width:517.45pt;z-index:251661312;mso-width-relative:page;mso-height-relative:page;" fillcolor="#C4BC96" filled="t" stroked="f" coordsize="21600,21600" o:gfxdata="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N2jorbAAAADgEAAA8AAAAAAAAAAQAgAAAAIgAAAGRycy9k&#10;b3ducmV2LnhtbFBLAQIUABQAAAAIAIdO4kBGQFupxgEAAFcDAAAOAAAAAAAAAAEAIAAAACo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-456565</wp:posOffset>
                </wp:positionV>
                <wp:extent cx="90805" cy="9643110"/>
                <wp:effectExtent l="0" t="0" r="4445" b="1524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" cy="964311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93.9pt;margin-top:-35.95pt;height:759.3pt;width:7.15pt;z-index:251662336;mso-width-relative:page;mso-height-relative:page;" fillcolor="#C4BC96" filled="t" stroked="f" coordsize="21600,21600" o:gfxdata="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UdRdtoAAAAMAQAADwAAAAAAAAABACAAAAAiAAAAZHJzL2Rv&#10;d25yZXYueG1sUEsBAhQAFAAAAAgAh07iQK/0CZ3GAQAAVwMAAA4AAAAAAAAAAQAgAAAAKQ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-1565910</wp:posOffset>
                </wp:positionH>
                <wp:positionV relativeFrom="paragraph">
                  <wp:posOffset>-456565</wp:posOffset>
                </wp:positionV>
                <wp:extent cx="90805" cy="9643110"/>
                <wp:effectExtent l="0" t="0" r="4445" b="15240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" cy="964311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23.3pt;margin-top:-35.95pt;height:759.3pt;width:7.15pt;z-index:251660288;mso-width-relative:page;mso-height-relative:page;" fillcolor="#C4BC96" filled="t" stroked="f" coordsize="21600,21600" o:gfxdata="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5Y2V9wAAAAOAQAADwAAAAAAAAABACAAAAAiAAAAZHJz&#10;L2Rvd25yZXYueG1sUEsBAhQAFAAAAAgAh07iQEEpiNrHAQAAVwMAAA4AAAAAAAAAAQAgAAAAKw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-76200</wp:posOffset>
            </wp:positionV>
            <wp:extent cx="1133475" cy="971550"/>
            <wp:effectExtent l="0" t="0" r="0" b="0"/>
            <wp:wrapTight wrapText="bothSides">
              <wp:wrapPolygon>
                <wp:start x="9802" y="0"/>
                <wp:lineTo x="6171" y="1271"/>
                <wp:lineTo x="1815" y="5082"/>
                <wp:lineTo x="1815" y="16094"/>
                <wp:lineTo x="3993" y="20329"/>
                <wp:lineTo x="5082" y="20753"/>
                <wp:lineTo x="7987" y="21176"/>
                <wp:lineTo x="9439" y="21176"/>
                <wp:lineTo x="11980" y="21176"/>
                <wp:lineTo x="13432" y="21176"/>
                <wp:lineTo x="17425" y="20329"/>
                <wp:lineTo x="19966" y="15671"/>
                <wp:lineTo x="19603" y="5506"/>
                <wp:lineTo x="14884" y="1271"/>
                <wp:lineTo x="11617" y="0"/>
                <wp:lineTo x="9802" y="0"/>
              </wp:wrapPolygon>
            </wp:wrapTight>
            <wp:docPr id="1" name="Picture 9" descr="20041794_14085146300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20041794_140851463000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                    </w:t>
      </w:r>
    </w:p>
    <w:p>
      <w:pPr>
        <w:jc w:val="right"/>
        <w:rPr>
          <w:rFonts w:ascii="方正小标宋_GBK" w:eastAsia="方正小标宋_GBK"/>
          <w:color w:val="FF0000"/>
          <w:sz w:val="32"/>
          <w:szCs w:val="32"/>
        </w:rPr>
      </w:pPr>
    </w:p>
    <w:p>
      <w:pPr>
        <w:jc w:val="right"/>
        <w:rPr>
          <w:rFonts w:ascii="方正小标宋_GBK" w:eastAsia="方正小标宋_GBK"/>
          <w:color w:val="FF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FF0000"/>
          <w:sz w:val="36"/>
          <w:szCs w:val="36"/>
        </w:rPr>
      </w:pPr>
      <w:r>
        <w:rPr>
          <w:rFonts w:hint="eastAsia" w:ascii="方正小标宋_GBK" w:eastAsia="方正小标宋_GBK"/>
          <w:color w:val="FF0000"/>
          <w:sz w:val="32"/>
          <w:szCs w:val="32"/>
        </w:rPr>
        <w:t xml:space="preserve">         </w:t>
      </w:r>
      <w:bookmarkStart w:id="0" w:name="_GoBack"/>
      <w:bookmarkEnd w:id="0"/>
    </w:p>
    <w:p>
      <w:pPr>
        <w:tabs>
          <w:tab w:val="left" w:pos="3828"/>
        </w:tabs>
        <w:jc w:val="right"/>
        <w:rPr>
          <w:rFonts w:ascii="方正小标宋_GBK" w:eastAsia="方正小标宋_GBK"/>
          <w:color w:val="FF0000"/>
          <w:sz w:val="32"/>
          <w:szCs w:val="32"/>
        </w:rPr>
      </w:pPr>
    </w:p>
    <w:p>
      <w:pPr>
        <w:jc w:val="center"/>
        <w:rPr>
          <w:rFonts w:hint="eastAsia" w:ascii="方正小标宋_GBK" w:hAnsi="微软雅黑" w:eastAsia="方正小标宋_GBK"/>
          <w:color w:val="auto"/>
          <w:sz w:val="72"/>
          <w:szCs w:val="72"/>
          <w:lang w:val="en-US" w:eastAsia="zh-CN"/>
        </w:rPr>
      </w:pPr>
      <w:r>
        <w:rPr>
          <w:rFonts w:hint="eastAsia" w:ascii="方正小标宋_GBK" w:hAnsi="微软雅黑" w:eastAsia="方正小标宋_GBK"/>
          <w:color w:val="auto"/>
          <w:sz w:val="72"/>
          <w:szCs w:val="72"/>
        </w:rPr>
        <w:t>宁夏食品药品监督管理</w:t>
      </w:r>
      <w:r>
        <w:rPr>
          <w:rFonts w:hint="eastAsia" w:ascii="方正小标宋_GBK" w:hAnsi="微软雅黑" w:eastAsia="方正小标宋_GBK"/>
          <w:color w:val="auto"/>
          <w:sz w:val="72"/>
          <w:szCs w:val="72"/>
          <w:lang w:val="en-US" w:eastAsia="zh-CN"/>
        </w:rPr>
        <w:t>局</w:t>
      </w:r>
    </w:p>
    <w:p>
      <w:pPr>
        <w:jc w:val="center"/>
        <w:rPr>
          <w:rFonts w:ascii="方正小标宋_GBK" w:hAnsi="微软雅黑" w:eastAsia="方正小标宋_GBK"/>
          <w:color w:val="auto"/>
          <w:sz w:val="72"/>
          <w:szCs w:val="72"/>
        </w:rPr>
      </w:pPr>
      <w:r>
        <w:rPr>
          <w:rFonts w:hint="eastAsia" w:ascii="方正小标宋_GBK" w:hAnsi="微软雅黑" w:eastAsia="方正小标宋_GBK"/>
          <w:color w:val="auto"/>
          <w:sz w:val="72"/>
          <w:szCs w:val="72"/>
          <w:lang w:eastAsia="zh-CN"/>
        </w:rPr>
        <w:t>案件</w:t>
      </w:r>
      <w:r>
        <w:rPr>
          <w:rFonts w:hint="eastAsia" w:ascii="方正小标宋_GBK" w:hAnsi="微软雅黑" w:eastAsia="方正小标宋_GBK"/>
          <w:color w:val="auto"/>
          <w:sz w:val="72"/>
          <w:szCs w:val="72"/>
        </w:rPr>
        <w:t>统计报告</w:t>
      </w:r>
    </w:p>
    <w:p>
      <w:pPr>
        <w:ind w:firstLine="2880" w:firstLineChars="900"/>
        <w:jc w:val="both"/>
        <w:rPr>
          <w:rFonts w:ascii="方正小标宋_GBK" w:hAnsi="微软雅黑" w:eastAsia="方正小标宋_GBK"/>
          <w:color w:val="auto"/>
          <w:sz w:val="32"/>
          <w:szCs w:val="32"/>
        </w:rPr>
      </w:pP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>（201</w:t>
      </w:r>
      <w:r>
        <w:rPr>
          <w:rFonts w:hint="eastAsia" w:ascii="方正小标宋_GBK" w:hAnsi="微软雅黑" w:eastAsia="方正小标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>年</w:t>
      </w:r>
      <w:r>
        <w:rPr>
          <w:rFonts w:hint="eastAsia" w:ascii="方正小标宋_GBK" w:hAnsi="微软雅黑" w:eastAsia="方正小标宋_GBK"/>
          <w:color w:val="auto"/>
          <w:sz w:val="32"/>
          <w:szCs w:val="32"/>
          <w:lang w:val="en-US" w:eastAsia="zh-CN"/>
        </w:rPr>
        <w:t>第3季度</w:t>
      </w: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>）</w:t>
      </w: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rPr>
          <w:rFonts w:ascii="方正小标宋_GBK" w:eastAsia="方正小标宋_GBK"/>
          <w:color w:val="auto"/>
          <w:sz w:val="32"/>
          <w:szCs w:val="32"/>
        </w:rPr>
      </w:pPr>
    </w:p>
    <w:p>
      <w:pPr>
        <w:jc w:val="center"/>
        <w:rPr>
          <w:rFonts w:ascii="方正小标宋_GBK" w:hAnsi="微软雅黑" w:eastAsia="方正小标宋_GBK"/>
          <w:color w:val="auto"/>
          <w:sz w:val="32"/>
          <w:szCs w:val="32"/>
        </w:rPr>
      </w:pP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 xml:space="preserve">    宁夏回族自治区食品药品监督管理局</w:t>
      </w:r>
      <w:r>
        <w:rPr>
          <w:rFonts w:hint="eastAsia" w:ascii="方正小标宋_GBK" w:hAnsi="微软雅黑" w:eastAsia="方正小标宋_GBK"/>
          <w:color w:val="auto"/>
          <w:sz w:val="32"/>
          <w:szCs w:val="32"/>
          <w:lang w:eastAsia="zh-CN"/>
        </w:rPr>
        <w:t>稽查局</w:t>
      </w:r>
    </w:p>
    <w:p>
      <w:pPr>
        <w:jc w:val="center"/>
        <w:rPr>
          <w:rFonts w:ascii="方正小标宋_GBK" w:hAnsi="微软雅黑" w:eastAsia="方正小标宋_GBK"/>
          <w:color w:val="auto"/>
          <w:sz w:val="32"/>
          <w:szCs w:val="32"/>
        </w:rPr>
      </w:pP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 xml:space="preserve">   201</w:t>
      </w:r>
      <w:r>
        <w:rPr>
          <w:rFonts w:hint="eastAsia" w:ascii="方正小标宋_GBK" w:hAnsi="微软雅黑" w:eastAsia="方正小标宋_GBK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>年</w:t>
      </w:r>
      <w:r>
        <w:rPr>
          <w:rFonts w:hint="eastAsia" w:ascii="方正小标宋_GBK" w:hAnsi="微软雅黑" w:eastAsia="方正小标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小标宋_GBK" w:hAnsi="微软雅黑" w:eastAsia="方正小标宋_GBK"/>
          <w:color w:val="auto"/>
          <w:sz w:val="32"/>
          <w:szCs w:val="32"/>
        </w:rPr>
        <w:t>月</w:t>
      </w:r>
    </w:p>
    <w:p>
      <w:pPr>
        <w:rPr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ascii="方正小标宋_GBK" w:eastAsia="方正小标宋_GBK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574040</wp:posOffset>
                </wp:positionV>
                <wp:extent cx="6662420" cy="106680"/>
                <wp:effectExtent l="5080" t="4445" r="19050" b="22225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420" cy="1066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55.1pt;margin-top:45.2pt;height:8.4pt;width:524.6pt;z-index:251658240;mso-width-relative:page;mso-height-relative:page;" fillcolor="#C4BC96" filled="t" stroked="t" coordsize="21600,21600" o:gfxdata="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9D8s9cAAAALAQAADwAAAAAAAAABACAAAAAi&#10;AAAAZHJzL2Rvd25yZXYueG1sUEsBAhQAFAAAAAgAh07iQGKqO80LAgAADgQAAA4AAAAAAAAAAQAg&#10;AAAAJg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361" w:right="1797" w:bottom="1361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2018年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第3季度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全区食品药品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办结案件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数据分析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8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一、案件基本情况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2018年第3季度全区共计办结食品药品一般程序违法案件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件，同比增长了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1.47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倍；货值（案值）金额共计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25.4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万元，同比下降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51.96%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281.97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万元，同比增长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14.95%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；无较大案件和重大案件，无移送司法机关案件。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2018年第3季度全区共计办结食品药品简易程序案件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件，货值（案值）金额共计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0.08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万元，收缴罚没款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1.83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：2017、2018年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第3季度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全区食品药品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一般程序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违法案件对比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04460" cy="3553460"/>
            <wp:effectExtent l="4445" t="4445" r="10795" b="2349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二、一般程序案件类别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（一）按案件类别分：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2018年第3季度我区共计办结食品类违法案件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件（含保健食品案件1件），占违法案件总数的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71.67%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225.56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万元；办结药品类违法案件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24.46%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35.05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万元；办结医疗器械品类违法案件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1.69%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19.84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万元；办结化妆品类违法案件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2.18%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，收缴罚没款共计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/>
          <w:bCs/>
          <w:sz w:val="28"/>
          <w:szCs w:val="28"/>
        </w:rPr>
        <w:instrText xml:space="preserve"> SEQ 表 \* ARABIC </w:instrTex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：2018年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第3季度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食品药品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违法案件办理情况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inline distT="0" distB="0" distL="114300" distR="114300">
            <wp:extent cx="4956810" cy="3686810"/>
            <wp:effectExtent l="33020" t="66675" r="115570" b="3746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（二）按案件来源分：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2018年第3季度全区413件食品药品一般程序违法案件来源于投诉举报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5.33%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；来源于监督抽验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13.56%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；来源于执法检验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3.87%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；来源于日常监管和专项检查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295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71.43%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；来源于其他部门通报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1.94%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；来源于其它来源类别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件，占违法案件总数的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3.87%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表3：2018年第3季度全区食品药品违法案件来源统计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82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080000" cy="3810000"/>
            <wp:effectExtent l="20955" t="20955" r="80645" b="742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（三）从涉案地域分：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2018年第3季度自治区级共计办结案件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件，罚没款共计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0.87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万元；</w:t>
      </w:r>
      <w:r>
        <w:rPr>
          <w:rFonts w:hint="eastAsia" w:ascii="仿宋_GB2312" w:eastAsia="仿宋_GB2312"/>
          <w:sz w:val="32"/>
          <w:szCs w:val="32"/>
        </w:rPr>
        <w:t>银川（含县级）共计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136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137.73</w:t>
      </w:r>
      <w:r>
        <w:rPr>
          <w:rFonts w:hint="eastAsia" w:ascii="仿宋_GB2312" w:eastAsia="仿宋_GB2312"/>
          <w:sz w:val="32"/>
          <w:szCs w:val="32"/>
        </w:rPr>
        <w:t>万元；石嘴山（含县级）共计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116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40.9</w:t>
      </w:r>
      <w:r>
        <w:rPr>
          <w:rFonts w:hint="eastAsia" w:ascii="仿宋_GB2312" w:eastAsia="仿宋_GB2312"/>
          <w:sz w:val="32"/>
          <w:szCs w:val="32"/>
        </w:rPr>
        <w:t>万元；吴忠（含县级）共计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18.16</w:t>
      </w:r>
      <w:r>
        <w:rPr>
          <w:rFonts w:hint="eastAsia" w:ascii="仿宋_GB2312" w:eastAsia="仿宋_GB2312"/>
          <w:sz w:val="32"/>
          <w:szCs w:val="32"/>
        </w:rPr>
        <w:t>万元；固原（含县级）共计办理案件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64</w:t>
      </w:r>
      <w:r>
        <w:rPr>
          <w:rFonts w:hint="eastAsia" w:ascii="仿宋_GB2312" w:eastAsia="仿宋_GB2312"/>
          <w:sz w:val="32"/>
          <w:szCs w:val="32"/>
        </w:rPr>
        <w:t>件，罚没款共计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35.43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中卫（含县级）共计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办结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罚没款共计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48.88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pgSz w:w="11850" w:h="16783"/>
          <w:pgMar w:top="2098" w:right="1474" w:bottom="1984" w:left="1587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2018年第3季度全区各级食品药品监管部门办结食品药品违法案件情况见下表：</w:t>
      </w:r>
    </w:p>
    <w:tbl>
      <w:tblPr>
        <w:tblStyle w:val="6"/>
        <w:tblW w:w="15318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765"/>
        <w:gridCol w:w="960"/>
        <w:gridCol w:w="3719"/>
        <w:gridCol w:w="915"/>
        <w:gridCol w:w="855"/>
        <w:gridCol w:w="693"/>
        <w:gridCol w:w="777"/>
        <w:gridCol w:w="720"/>
        <w:gridCol w:w="720"/>
        <w:gridCol w:w="735"/>
        <w:gridCol w:w="735"/>
        <w:gridCol w:w="750"/>
        <w:gridCol w:w="750"/>
        <w:gridCol w:w="72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318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表4：全区各市、县（区）市场监督管理局2018年第3季度办结食品药品违法案件统计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371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85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罚没款（万元）</w:t>
            </w:r>
          </w:p>
        </w:tc>
        <w:tc>
          <w:tcPr>
            <w:tcW w:w="147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47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150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</w:t>
            </w:r>
          </w:p>
        </w:tc>
        <w:tc>
          <w:tcPr>
            <w:tcW w:w="144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7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1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罚没款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自治区食品药品监督管理局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137.73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38.67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2.83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10.84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银川市市场监督管理局兴庆一分局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银川市市场监督管理局兴庆二分局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银川市市场监督管理局金凤区分局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银川市市场监督管理局西夏区分局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29.94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24.21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25.62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石嘴山市市场监督管理局大武口分局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18.3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石嘴山市市场监督管理局惠农分局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5.73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16.37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18.16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吴忠市市场监督管理局利通区分局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11.41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吴忠市市场监督管理局红寺堡分局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盐池县市场监督管理局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35.43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1.71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固原市市场监督管理局原州一分局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固原市市场监督管理局原州二分局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14.78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固原市市场监督管理局开发区分局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2.85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0.91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彭阳县市场监督管理局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15.08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48.88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中卫市市场监督管理局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40.03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39.66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3.46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7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海原县市场监督管理局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5.39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281.97</w:t>
            </w:r>
          </w:p>
        </w:tc>
        <w:tc>
          <w:tcPr>
            <w:tcW w:w="37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</w:rPr>
            </w:pP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8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B05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B050"/>
                <w:kern w:val="0"/>
                <w:sz w:val="22"/>
                <w:szCs w:val="22"/>
                <w:u w:val="none"/>
                <w:lang w:val="en-US" w:eastAsia="zh-CN" w:bidi="ar"/>
              </w:rPr>
              <w:t>281.97</w:t>
            </w:r>
          </w:p>
        </w:tc>
        <w:tc>
          <w:tcPr>
            <w:tcW w:w="693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77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225.56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35.05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19.84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99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6783" w:h="11850" w:orient="landscape"/>
          <w:pgMar w:top="1440" w:right="1080" w:bottom="1440" w:left="1080" w:header="851" w:footer="992" w:gutter="0"/>
          <w:pgBorders>
            <w:top w:val="pushPinNote1" w:color="auto" w:sz="31" w:space="1"/>
            <w:left w:val="pushPinNote1" w:color="auto" w:sz="31" w:space="4"/>
            <w:bottom w:val="pushPinNote1" w:color="auto" w:sz="31" w:space="1"/>
            <w:right w:val="pushPinNote1" w:color="auto" w:sz="31" w:space="4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三、各类违法案件具体情况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321" w:firstLineChars="1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（一）食品类一般程序案件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1、基本情况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2018年第3季度全区共计办结食品类一般程序违法案件296件，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同比增长2.22倍，货值（案值）金额14.06万元，同比下降61.48%，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收缴罚没款共计225.56万元，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同比增长54.16%。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其中：普通食品一般程序违法案件中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生产环节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违法案件112件，占普通食品一般程序违法案件总数的37.97%，货值（案值）金额10.16万元，收缴罚没款共计124.46万元；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经营环节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违法案件183件，占全部食品案件的62.03%，货值（案值）金额3.78万元，收缴罚没款共计101.1万元。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保健食品一般程序违法案件1件，货值（案值）金额0.12万元，收缴罚没款0元。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表5:2018年第3季度全区食品案件办结情况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12715" cy="3696970"/>
            <wp:effectExtent l="4445" t="4445" r="21590" b="1333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296件食品一般程序违法案件来源于投诉举报15件，占食品违法案件总数的5.06%；来源于监督抽验26件，占食品违法案件总数的8.78%；来源于执法检验10件，占食品违法案件总数的3.38%；来源于日常监管和专项检查233件，占食品违法案件总数的78.72%；来源于其他部门通报2件，占食品违法案件总数的0.68%；来源于其他类别10件，占食品违法案件总数的3.38%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表6:2018年第3季度全区食品一般程序违法案件来源统计</w:t>
      </w:r>
    </w:p>
    <w:tbl>
      <w:tblPr>
        <w:tblStyle w:val="6"/>
        <w:tblW w:w="86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BF18B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1"/>
        <w:gridCol w:w="2100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BF18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案件数（件）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占食品违法案件的百分比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E9EDF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  <w:t>投诉举报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E9ED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5.06%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BF18B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监督抽验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8.78%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执法检验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3.38%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日常监管和专项检查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sz w:val="28"/>
                <w:szCs w:val="22"/>
                <w:u w:val="none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78.72%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其他部门通报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0.68%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04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00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5" w:type="dxa"/>
            <w:tcBorders>
              <w:top w:val="single" w:color="4F81BD" w:sz="8" w:space="0"/>
              <w:left w:val="dotted" w:color="auto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宋体"/>
                <w:b/>
                <w:bCs/>
                <w:i w:val="0"/>
                <w:color w:val="7030A0"/>
                <w:kern w:val="0"/>
                <w:sz w:val="28"/>
                <w:szCs w:val="22"/>
                <w:u w:val="none"/>
                <w:lang w:val="en-US" w:eastAsia="zh-CN" w:bidi="ar"/>
              </w:rPr>
              <w:t>3.38%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药品类一般程序案件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2018年第3季度全区共计办结药品类一般程序违法案件101件，同比增长60.32%，货值（案值）金额8.47万元，同比下降35.39%，收缴罚没款共计35.05万元，同比下降56.15%。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表7:2018年第3季度全区药品一般程序违法案件办理情况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4652645" cy="3077210"/>
            <wp:effectExtent l="4445" t="4445" r="10160" b="2349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2、案件来源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第3季度全区办结的101件药品类一般程序违法案件中来源于投诉举报6件，占药品违法案件总数的5.94%；来源于监督抽验29件，占药品违法案件总数的28.72%；来源于执法检验6件，占药品违法案件总数的5.94%；来源于日常监管和专项检查50件，占药品违法案件总数的49.5%；来源于其他部门通报5件，占药品违法案件总数的4.95%；来源于其他类别5件，占药品违法案件总数的4.95%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表8:2018年第3季度药品一般程序违法案件来源统计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glow w14:rad="101600">
            <w14:schemeClr w14:val="accent4">
              <w14:satMod w14:val="175000"/>
              <w14:alpha w14:val="60000"/>
            </w14:schemeClr>
          </w14:glow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12080" cy="3886200"/>
            <wp:effectExtent l="20955" t="55245" r="81915" b="2095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医疗器械类一般程序案件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321" w:firstLine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2018年第3季度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全区共计办结医疗器械类一般程序违法案件7件，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dotted"/>
          <w:lang w:val="en-US" w:eastAsia="zh-CN"/>
        </w:rPr>
        <w:t>与去年同期相同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；货值（案值）金额2.34万元，同比下降26.42%；收缴罚没款共计19.84万元，同比增长4.97%。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2018年第3季度全区办理的7件医疗器械一般程序违法案件来源于日常监管和专项检查5件，来源于其他类别2件。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（四）化妆品类一般程序案件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2018年第3季度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全区共计办结化妆品类一般程序违法案件9件，同比增长80%；货值（案值）金额0.53万元，同比增长5.6倍，收缴罚没款共计1.52万元，同比增长9.86倍。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表9:2018年第3季度全区化妆品违法案件办理情况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24145" cy="3479165"/>
            <wp:effectExtent l="4445" t="4445" r="10160" b="2159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2、案件来源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2018年第3季度全区办结的2件化妆品违法案件来源于投诉举报1件，来源于监督抽验1件，来源于日常监管和专项检查7件。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（五）简易程序违法案件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2018年第3季度全区共计办理简易程序违法案件35件（其中药品简易程序案件27件，食品简易程序案件8件），同比增长29.63%，案值（货值）金额0.08万元，收缴罚没款共计1.83万元，同比下降20.43%。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2、案件来源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第3季度全区办结的35件简易程序违法案件中来源于投诉举报1件，占简易程序违法案件总数的2.86%；来源于监督抽验4件，占简易程序违法案件总数的11.43%；来源于执法检验2件，占简易程序违法案件总数的5.71%；来源于日常监管和专项检查28件，占简易程序违法案件总数的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表10:2018年第3季度全区简易程序违法案件来源占比情况</w:t>
      </w:r>
    </w:p>
    <w:tbl>
      <w:tblPr>
        <w:tblStyle w:val="7"/>
        <w:tblpPr w:leftFromText="180" w:rightFromText="180" w:vertAnchor="text" w:horzAnchor="page" w:tblpXSpec="center" w:tblpY="70"/>
        <w:tblOverlap w:val="never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3002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1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8"/>
                <w:szCs w:val="28"/>
                <w:vertAlign w:val="baseline"/>
                <w:lang w:val="en-US" w:eastAsia="zh-CN"/>
              </w:rPr>
              <w:t>案件数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FFFFFF" w:sz="4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FFFF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sz w:val="28"/>
                <w:szCs w:val="28"/>
                <w:vertAlign w:val="baseline"/>
                <w:lang w:val="en-US" w:eastAsia="zh-CN"/>
              </w:rPr>
              <w:t>占简易程序违法案件总数百分比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投诉举报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监督抽验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执法检验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日常监管和专项检查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00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850" w:h="16783"/>
      <w:pgMar w:top="2098" w:right="1474" w:bottom="1984" w:left="1587" w:header="851" w:footer="992" w:gutter="0"/>
      <w:pgBorders>
        <w:top w:val="pushPinNote1" w:color="auto" w:sz="31" w:space="1"/>
        <w:left w:val="pushPinNote1" w:color="auto" w:sz="31" w:space="4"/>
        <w:bottom w:val="pushPinNote1" w:color="auto" w:sz="31" w:space="1"/>
        <w:right w:val="pushPinNote1" w:color="auto" w:sz="31" w:space="4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2yyQLzAEAAHo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15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3EBD0"/>
    <w:multiLevelType w:val="singleLevel"/>
    <w:tmpl w:val="9E93EB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B3BE88"/>
    <w:multiLevelType w:val="singleLevel"/>
    <w:tmpl w:val="CEB3BE8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1F99"/>
    <w:rsid w:val="003B4EBA"/>
    <w:rsid w:val="00E51F1B"/>
    <w:rsid w:val="00F86C82"/>
    <w:rsid w:val="054073BF"/>
    <w:rsid w:val="06E85E47"/>
    <w:rsid w:val="08951926"/>
    <w:rsid w:val="08BB2762"/>
    <w:rsid w:val="0DB27847"/>
    <w:rsid w:val="0E741288"/>
    <w:rsid w:val="0F952248"/>
    <w:rsid w:val="0FE84755"/>
    <w:rsid w:val="1100192B"/>
    <w:rsid w:val="14532ED4"/>
    <w:rsid w:val="16672967"/>
    <w:rsid w:val="16CA57F2"/>
    <w:rsid w:val="170E2FBA"/>
    <w:rsid w:val="17A96668"/>
    <w:rsid w:val="1CFE76D9"/>
    <w:rsid w:val="1DAB14F8"/>
    <w:rsid w:val="1FEB6D6D"/>
    <w:rsid w:val="200E4D03"/>
    <w:rsid w:val="22214E3F"/>
    <w:rsid w:val="24291019"/>
    <w:rsid w:val="25614263"/>
    <w:rsid w:val="25922D52"/>
    <w:rsid w:val="265E1FC4"/>
    <w:rsid w:val="2A556B8D"/>
    <w:rsid w:val="2D636187"/>
    <w:rsid w:val="3014253F"/>
    <w:rsid w:val="303C6030"/>
    <w:rsid w:val="30BE761E"/>
    <w:rsid w:val="3343198C"/>
    <w:rsid w:val="35E84D5C"/>
    <w:rsid w:val="3643622F"/>
    <w:rsid w:val="371845DA"/>
    <w:rsid w:val="3AC81F99"/>
    <w:rsid w:val="3BB03674"/>
    <w:rsid w:val="44DF1CFA"/>
    <w:rsid w:val="45A663E6"/>
    <w:rsid w:val="4849103C"/>
    <w:rsid w:val="48985E80"/>
    <w:rsid w:val="491E7836"/>
    <w:rsid w:val="4B3E1725"/>
    <w:rsid w:val="4EA5244E"/>
    <w:rsid w:val="4F104474"/>
    <w:rsid w:val="4F4B645F"/>
    <w:rsid w:val="5A5D2CB6"/>
    <w:rsid w:val="5A8A1542"/>
    <w:rsid w:val="5B1E23E7"/>
    <w:rsid w:val="5BB9526C"/>
    <w:rsid w:val="65196835"/>
    <w:rsid w:val="6727015D"/>
    <w:rsid w:val="685714D2"/>
    <w:rsid w:val="68957197"/>
    <w:rsid w:val="69AE083F"/>
    <w:rsid w:val="6AC26773"/>
    <w:rsid w:val="6C1966AF"/>
    <w:rsid w:val="6F0833DD"/>
    <w:rsid w:val="6F690509"/>
    <w:rsid w:val="72AE55B4"/>
    <w:rsid w:val="73725B24"/>
    <w:rsid w:val="75E8030E"/>
    <w:rsid w:val="785963F0"/>
    <w:rsid w:val="794D4C86"/>
    <w:rsid w:val="7DA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1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2.xlsx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7.xml"/><Relationship Id="rId3" Type="http://schemas.microsoft.com/office/2011/relationships/chartStyle" Target="style7.xml"/><Relationship Id="rId2" Type="http://schemas.openxmlformats.org/officeDocument/2006/relationships/image" Target="../media/image3.png"/><Relationship Id="rId1" Type="http://schemas.openxmlformats.org/officeDocument/2006/relationships/package" Target="../embeddings/Workbook5.xlsx"/></Relationships>
</file>

<file path=word/charts/_rels/chart7.xml.rels><?xml version="1.0" encoding="UTF-8" standalone="yes"?>
<Relationships xmlns="http://schemas.openxmlformats.org/package/2006/relationships"><Relationship Id="rId4" Type="http://schemas.microsoft.com/office/2011/relationships/chartColorStyle" Target="colors6.xml"/><Relationship Id="rId3" Type="http://schemas.microsoft.com/office/2011/relationships/chartStyle" Target="style6.xml"/><Relationship Id="rId2" Type="http://schemas.openxmlformats.org/officeDocument/2006/relationships/image" Target="../media/image2.png"/><Relationship Id="rId1" Type="http://schemas.openxmlformats.org/officeDocument/2006/relationships/package" Target="../embeddings/Workboo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gradFill>
              <a:gsLst>
                <a:gs pos="0">
                  <a:srgbClr val="70AD47">
                    <a:lumMod val="40000"/>
                    <a:lumOff val="60000"/>
                  </a:srgbClr>
                </a:gs>
                <a:gs pos="100000">
                  <a:srgbClr val="70AD47">
                    <a:lumMod val="75000"/>
                  </a:srgbClr>
                </a:gs>
              </a:gsLst>
              <a:lin ang="0" scaled="0"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5">
                        <a:lumMod val="50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</c:v>
                </c:pt>
                <c:pt idx="1" c:formatCode="yyyy&quot;年&quot;m&quot;月&quot;">
                  <c:v>2018年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167</c:v>
                </c:pt>
                <c:pt idx="1">
                  <c:v>413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gradFill>
              <a:gsLst>
                <a:gs pos="2000">
                  <a:srgbClr val="FFC000">
                    <a:lumMod val="40000"/>
                    <a:lumOff val="60000"/>
                  </a:srgbClr>
                </a:gs>
                <a:gs pos="100000">
                  <a:srgbClr val="FFC000">
                    <a:lumMod val="75000"/>
                  </a:srgbClr>
                </a:gs>
              </a:gsLst>
              <a:lin ang="0" scaled="0"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7030A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</c:v>
                </c:pt>
                <c:pt idx="1" c:formatCode="yyyy&quot;年&quot;m&quot;月&quot;">
                  <c:v>2018年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245.3</c:v>
                </c:pt>
                <c:pt idx="1">
                  <c:v>281.97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gradFill>
              <a:gsLst>
                <a:gs pos="0">
                  <a:srgbClr val="EFA6CF"/>
                </a:gs>
                <a:gs pos="100000">
                  <a:srgbClr val="E774A7"/>
                </a:gs>
              </a:gsLst>
              <a:lin ang="0" scaled="0"/>
            </a:gradFill>
            <a:ln>
              <a:noFill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50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 c:formatCode="yyyy&quot;年&quot;m&quot;月&quot;">
                  <c:v>2017年</c:v>
                </c:pt>
                <c:pt idx="1" c:formatCode="yyyy&quot;年&quot;m&quot;月&quot;">
                  <c:v>2018年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52.87</c:v>
                </c:pt>
                <c:pt idx="1">
                  <c:v>25.4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5685215"/>
        <c:axId val="314721144"/>
      </c:barChart>
      <c:dateAx>
        <c:axId val="215685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14721144"/>
        <c:crosses val="autoZero"/>
        <c:auto val="1"/>
        <c:lblAlgn val="ctr"/>
        <c:lblOffset val="100"/>
        <c:baseTimeUnit val="days"/>
      </c:dateAx>
      <c:valAx>
        <c:axId val="314721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15685215"/>
        <c:crosses val="autoZero"/>
        <c:crossBetween val="between"/>
      </c:valAx>
      <c:spPr>
        <a:solidFill>
          <a:srgbClr val="E7E6E6">
            <a:lumMod val="90000"/>
          </a:srgbClr>
        </a:solidFill>
        <a:ln w="25400">
          <a:noFill/>
        </a:ln>
        <a:effectLst>
          <a:outerShdw blurRad="50800" dist="50800" dir="5400000" algn="ctr" rotWithShape="0">
            <a:srgbClr val="000000">
              <a:alpha val="38000"/>
            </a:srgbClr>
          </a:outerShdw>
        </a:effectLst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1000" b="1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9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192800409941071"/>
          <c:y val="0.0272132276954874"/>
          <c:w val="0.918588265436843"/>
          <c:h val="0.816396830864623"/>
        </c:manualLayout>
      </c:layout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案件数（件）</c:v>
                </c:pt>
              </c:strCache>
            </c:strRef>
          </c:tx>
          <c:spPr>
            <a:gradFill rotWithShape="1">
              <a:gsLst>
                <a:gs pos="0">
                  <a:srgbClr val="AEB0E6"/>
                </a:gs>
                <a:gs pos="100000">
                  <a:srgbClr val="8A7DDE"/>
                </a:gs>
              </a:gsLst>
              <a:lin ang="5400000" scaled="0"/>
            </a:gradFill>
            <a:ln w="19050" cap="rnd">
              <a:noFill/>
              <a:round/>
            </a:ln>
            <a:effectLst>
              <a:glow rad="101600">
                <a:srgbClr val="8A7DDE">
                  <a:alpha val="40000"/>
                </a:srgbClr>
              </a:glow>
              <a:outerShdw blurRad="50800" dist="38100" dir="10800000" algn="r" rotWithShape="0">
                <a:prstClr val="black">
                  <a:alpha val="40000"/>
                </a:prstClr>
              </a:outerShdw>
            </a:effectLst>
          </c:spPr>
          <c:dLbls>
            <c:dLbl>
              <c:idx val="0"/>
              <c:layout>
                <c:manualLayout>
                  <c:x val="-0.0557263643351268"/>
                  <c:y val="-0.3746124698587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49807840122982"/>
                  <c:y val="-0.105924905270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4911606456572"/>
                  <c:y val="-0.03616947984843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153727901614143"/>
                  <c:y val="-0.038753014123320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>
                  <a:spAutoFit/>
                </a:bodyPr>
                <a:lstStyle/>
                <a:p>
                  <a:pPr>
                    <a:defRPr lang="zh-CN" sz="1000" b="1" i="0" u="none" strike="noStrike" kern="1200" cap="none" normalizeH="0" baseline="0">
                      <a:solidFill>
                        <a:srgbClr val="FF0000"/>
                      </a:solidFill>
                      <a:uFill>
                        <a:solidFill>
                          <a:schemeClr val="accent6"/>
                        </a:solidFill>
                      </a:uFill>
                      <a:latin typeface="Calibri" panose="020F0502020204030204" pitchFamily="2" charset="0"/>
                      <a:ea typeface="+mn-ea"/>
                      <a:cs typeface="Arial" panose="020B0604020202020204" pitchFamily="7" charset="0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0000"/>
                    </a:solidFill>
                    <a:uFill>
                      <a:solidFill>
                        <a:schemeClr val="accent6"/>
                      </a:solidFill>
                    </a:uFill>
                    <a:latin typeface="Calibri" panose="020F0502020204030204" pitchFamily="2" charset="0"/>
                    <a:ea typeface="+mn-ea"/>
                    <a:cs typeface="Arial" panose="020B0604020202020204" pitchFamily="7" charset="0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食品</c:v>
                </c:pt>
                <c:pt idx="1">
                  <c:v>药品</c:v>
                </c:pt>
                <c:pt idx="2">
                  <c:v>医疗器械</c:v>
                </c:pt>
                <c:pt idx="3">
                  <c:v>化妆品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296</c:v>
                </c:pt>
                <c:pt idx="1">
                  <c:v>101</c:v>
                </c:pt>
                <c:pt idx="2">
                  <c:v>7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99090706"/>
        <c:axId val="276037852"/>
      </c:areaChart>
      <c:barChart>
        <c:barDir val="col"/>
        <c:grouping val="clustere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gradFill>
              <a:gsLst>
                <a:gs pos="0">
                  <a:srgbClr val="70AD47">
                    <a:lumMod val="60000"/>
                    <a:lumOff val="40000"/>
                  </a:srgbClr>
                </a:gs>
                <a:gs pos="100000">
                  <a:srgbClr val="70AD47">
                    <a:lumMod val="75000"/>
                  </a:srgbClr>
                </a:gs>
              </a:gsLst>
              <a:lin ang="0" scaled="0"/>
            </a:gradFill>
            <a:ln w="19050" cap="rnd">
              <a:noFill/>
              <a:round/>
            </a:ln>
            <a:effectLst>
              <a:glow rad="101600">
                <a:srgbClr val="70AD47">
                  <a:satMod val="175000"/>
                  <a:alpha val="40000"/>
                </a:srgbClr>
              </a:glow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0384319754035357"/>
                  <c:y val="0.09559076817085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06717189114708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384319754035357"/>
                  <c:y val="0.07492249397175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03535741737125"/>
                  <c:y val="0.012917671374440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 forceAA="0"/>
                <a:lstStyle/>
                <a:p>
                  <a:pPr>
                    <a:defRPr lang="zh-CN" sz="1000" b="1" i="0" u="none" strike="noStrike" kern="1200" cap="none" normalizeH="0" baseline="0">
                      <a:solidFill>
                        <a:schemeClr val="accent2">
                          <a:lumMod val="50000"/>
                        </a:schemeClr>
                      </a:solidFill>
                      <a:uFill>
                        <a:solidFill>
                          <a:schemeClr val="accent6"/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2">
                        <a:lumMod val="50000"/>
                      </a:schemeClr>
                    </a:solidFill>
                    <a:uFill>
                      <a:solidFill>
                        <a:schemeClr val="accent6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食品</c:v>
                </c:pt>
                <c:pt idx="1">
                  <c:v>药品</c:v>
                </c:pt>
                <c:pt idx="2">
                  <c:v>医疗器械</c:v>
                </c:pt>
                <c:pt idx="3">
                  <c:v>化妆品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225.56</c:v>
                </c:pt>
                <c:pt idx="1">
                  <c:v>35.05</c:v>
                </c:pt>
                <c:pt idx="2">
                  <c:v>19.84</c:v>
                </c:pt>
                <c:pt idx="3">
                  <c:v>1.52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599090706"/>
        <c:axId val="276037852"/>
      </c:barChart>
      <c:lineChart>
        <c:grouping val="standard"/>
        <c:varyColors val="0"/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食品</c:v>
                </c:pt>
                <c:pt idx="1">
                  <c:v>药品</c:v>
                </c:pt>
                <c:pt idx="2">
                  <c:v>医疗器械</c:v>
                </c:pt>
                <c:pt idx="3">
                  <c:v>化妆品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599090706"/>
        <c:axId val="276037852"/>
      </c:lineChart>
      <c:catAx>
        <c:axId val="599090706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rgbClr val="777777"/>
                  </a:solidFill>
                </a:uFill>
                <a:latin typeface="微软雅黑" panose="020B0503020204020204" charset="-122"/>
                <a:ea typeface="微软雅黑" panose="020B0503020204020204" charset="-122"/>
                <a:cs typeface="+mn-cs"/>
              </a:defRPr>
            </a:pPr>
          </a:p>
        </c:txPr>
        <c:crossAx val="276037852"/>
        <c:crosses val="autoZero"/>
        <c:auto val="1"/>
        <c:lblAlgn val="ctr"/>
        <c:lblOffset val="100"/>
        <c:noMultiLvlLbl val="0"/>
      </c:catAx>
      <c:valAx>
        <c:axId val="2760378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2"/>
                </a:solidFill>
                <a:uFill>
                  <a:solidFill>
                    <a:schemeClr val="bg1">
                      <a:lumMod val="8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909070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8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bg1">
                      <a:lumMod val="8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38278247501922"/>
          <c:y val="0.934033758181192"/>
          <c:w val="0.606072252113759"/>
          <c:h val="0.06079917326903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bg1">
                    <a:lumMod val="8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>
      <a:gsLst>
        <a:gs pos="0">
          <a:srgbClr val="ED7D31">
            <a:lumMod val="20000"/>
            <a:lumOff val="80000"/>
          </a:srgbClr>
        </a:gs>
        <a:gs pos="100000">
          <a:srgbClr val="ED7D31">
            <a:lumMod val="40000"/>
            <a:lumOff val="60000"/>
          </a:srgbClr>
        </a:gs>
      </a:gsLst>
      <a:lin ang="0" scaled="0"/>
    </a:gradFill>
    <a:ln>
      <a:solidFill>
        <a:srgbClr val="E8E8E8"/>
      </a:solidFill>
    </a:ln>
    <a:effectLst>
      <a:outerShdw blurRad="76200" dist="50800" dir="18900000" algn="bl" rotWithShape="0">
        <a:sysClr val="window" lastClr="FFFFFF">
          <a:lumMod val="75000"/>
          <a:alpha val="40000"/>
        </a:sysClr>
      </a:outerShdw>
      <a:softEdge rad="31750"/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27125"/>
          <c:y val="0.0291666666666667"/>
          <c:w val="0.6935"/>
          <c:h val="0.924666666666667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2"/>
              <c:layout>
                <c:manualLayout>
                  <c:x val="-0.013125"/>
                  <c:y val="0.0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C0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</c:v>
                </c:pt>
                <c:pt idx="1">
                  <c:v>56</c:v>
                </c:pt>
                <c:pt idx="2">
                  <c:v>16</c:v>
                </c:pt>
                <c:pt idx="3">
                  <c:v>295</c:v>
                </c:pt>
                <c:pt idx="4">
                  <c:v>8</c:v>
                </c:pt>
                <c:pt idx="5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206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0.0533</c:v>
                </c:pt>
                <c:pt idx="1">
                  <c:v>0.1356</c:v>
                </c:pt>
                <c:pt idx="2">
                  <c:v>0.0387</c:v>
                </c:pt>
                <c:pt idx="3">
                  <c:v>0.7143</c:v>
                </c:pt>
                <c:pt idx="4">
                  <c:v>0.0194</c:v>
                </c:pt>
                <c:pt idx="5">
                  <c:v>0.0387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2325"/>
          <c:y val="0.333833333333333"/>
          <c:w val="0.271125"/>
          <c:h val="0.6586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noFill/>
            <a:ln w="28575" cap="flat" cmpd="dbl" algn="ctr">
              <a:solidFill>
                <a:srgbClr val="FFC000"/>
              </a:solidFill>
              <a:prstDash val="dash"/>
              <a:miter lim="800000"/>
            </a:ln>
            <a:effectLst>
              <a:glow rad="101600">
                <a:schemeClr val="accent4">
                  <a:satMod val="175000"/>
                  <a:alpha val="40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FF00"/>
                    </a:solidFill>
                    <a:uFill>
                      <a:solidFill>
                        <a:schemeClr val="bg1">
                          <a:lumMod val="7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92</c:v>
                </c:pt>
                <c:pt idx="1">
                  <c:v>296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noFill/>
            <a:ln w="15875" cap="flat" cmpd="sng" algn="ctr">
              <a:solidFill>
                <a:srgbClr val="00B0F0"/>
              </a:solidFill>
              <a:miter lim="800000"/>
            </a:ln>
            <a:effectLst>
              <a:glow rad="63500">
                <a:srgbClr val="00B0F0">
                  <a:alpha val="25000"/>
                </a:srgb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00B0F0"/>
                    </a:solidFill>
                    <a:uFill>
                      <a:solidFill>
                        <a:schemeClr val="bg1">
                          <a:lumMod val="7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36.5</c:v>
                </c:pt>
                <c:pt idx="1">
                  <c:v>14.06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noFill/>
            <a:ln w="28575" cap="flat" cmpd="sng" algn="ctr">
              <a:solidFill>
                <a:srgbClr val="FF0000"/>
              </a:solidFill>
              <a:prstDash val="sysDot"/>
              <a:miter lim="800000"/>
            </a:ln>
            <a:effectLst>
              <a:glow rad="101600">
                <a:srgbClr val="FF0000">
                  <a:alpha val="40000"/>
                </a:srgb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0000"/>
                    </a:solidFill>
                    <a:uFill>
                      <a:solidFill>
                        <a:schemeClr val="bg1">
                          <a:lumMod val="7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146.32</c:v>
                </c:pt>
                <c:pt idx="1">
                  <c:v>225.56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81976301"/>
        <c:axId val="399411398"/>
      </c:barChart>
      <c:catAx>
        <c:axId val="181976301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8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99411398"/>
        <c:crosses val="autoZero"/>
        <c:auto val="1"/>
        <c:lblAlgn val="ctr"/>
        <c:lblOffset val="100"/>
        <c:noMultiLvlLbl val="0"/>
      </c:catAx>
      <c:valAx>
        <c:axId val="39941139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8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1819763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8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8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>
                    <a:lumMod val="85000"/>
                  </a:schemeClr>
                </a:solidFill>
                <a:uFill>
                  <a:solidFill>
                    <a:schemeClr val="bg1">
                      <a:lumMod val="7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bg1">
                  <a:lumMod val="85000"/>
                </a:schemeClr>
              </a:solidFill>
              <a:uFill>
                <a:solidFill>
                  <a:schemeClr val="bg1">
                    <a:lumMod val="7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2017年第3季度</c:v>
                </c:pt>
              </c:strCache>
            </c:strRef>
          </c:tx>
          <c:spPr>
            <a:solidFill>
              <a:srgbClr val="6ABEA1"/>
            </a:solidFill>
            <a:ln>
              <a:noFill/>
            </a:ln>
            <a:effectLst>
              <a:glow rad="101600">
                <a:srgbClr val="6ABEA1">
                  <a:alpha val="40000"/>
                </a:srgbClr>
              </a:glow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"/>
              <c:layout>
                <c:manualLayout>
                  <c:x val="-0.005625"/>
                  <c:y val="-0.03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6ABEA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</c:v>
                </c:pt>
                <c:pt idx="1">
                  <c:v>13.11</c:v>
                </c:pt>
                <c:pt idx="2">
                  <c:v>79.94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2018年第3季度</c:v>
                </c:pt>
              </c:strCache>
            </c:strRef>
          </c:tx>
          <c:spPr>
            <a:solidFill>
              <a:srgbClr val="DF6A8B"/>
            </a:solidFill>
            <a:ln>
              <a:noFill/>
            </a:ln>
            <a:effectLst>
              <a:glow rad="101600">
                <a:srgbClr val="DF6A8B">
                  <a:alpha val="40000"/>
                </a:srgbClr>
              </a:glow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1125"/>
                  <c:y val="0.01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0.0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DF6A8B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101</c:v>
                </c:pt>
                <c:pt idx="1">
                  <c:v>8.47</c:v>
                </c:pt>
                <c:pt idx="2">
                  <c:v>35.05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4008985"/>
        <c:axId val="40364987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增长率%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>
              <a:glow rad="63500">
                <a:schemeClr val="accent1">
                  <a:satMod val="175000"/>
                  <a:alpha val="40000"/>
                </a:schemeClr>
              </a:glow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7"/>
            <c:spPr>
              <a:gradFill>
                <a:gsLst>
                  <a:gs pos="0">
                    <a:srgbClr val="E30000">
                      <a:alpha val="100000"/>
                    </a:srgbClr>
                  </a:gs>
                  <a:gs pos="100000">
                    <a:srgbClr val="760303"/>
                  </a:gs>
                </a:gsLst>
                <a:lin ang="5400000" scaled="0"/>
              </a:gradFill>
              <a:ln w="9525" cap="sq">
                <a:solidFill>
                  <a:srgbClr val="FFFF00"/>
                </a:solidFill>
              </a:ln>
              <a:effectLst>
                <a:glow rad="63500">
                  <a:schemeClr val="accent1">
                    <a:satMod val="175000"/>
                    <a:alpha val="40000"/>
                  </a:schemeClr>
                </a:glow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0.10875"/>
                  <c:y val="-0.0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0.0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2375"/>
                  <c:y val="0.05250000000000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rgbClr val="FF0000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案件数</c:v>
                </c:pt>
                <c:pt idx="1">
                  <c:v>案值（万元）</c:v>
                </c:pt>
                <c:pt idx="2">
                  <c:v>罚没款（万元）</c:v>
                </c:pt>
              </c:strCache>
            </c:strRef>
          </c:cat>
          <c:val>
            <c:numRef>
              <c:f>Sheet1!$D$2:$D$4</c:f>
              <c:numCache>
                <c:formatCode>0.00%</c:formatCode>
                <c:ptCount val="3"/>
                <c:pt idx="0">
                  <c:v>0.6032</c:v>
                </c:pt>
                <c:pt idx="1">
                  <c:v>-0.3539</c:v>
                </c:pt>
                <c:pt idx="2">
                  <c:v>-0.5615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58648134"/>
        <c:axId val="239343430"/>
      </c:lineChart>
      <c:catAx>
        <c:axId val="35400898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2">
                    <a:lumMod val="60000"/>
                    <a:lumOff val="4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0364987"/>
        <c:crosses val="autoZero"/>
        <c:auto val="1"/>
        <c:lblAlgn val="ctr"/>
        <c:lblOffset val="100"/>
        <c:noMultiLvlLbl val="0"/>
      </c:catAx>
      <c:valAx>
        <c:axId val="403649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accent4">
                    <a:lumMod val="60000"/>
                    <a:lumOff val="40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54008985"/>
        <c:crosses val="autoZero"/>
        <c:crossBetween val="between"/>
      </c:valAx>
      <c:catAx>
        <c:axId val="55864813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9343430"/>
        <c:crosses val="autoZero"/>
        <c:auto val="1"/>
        <c:lblAlgn val="ctr"/>
        <c:lblOffset val="100"/>
        <c:noMultiLvlLbl val="0"/>
      </c:catAx>
      <c:valAx>
        <c:axId val="23934343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92D05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5864813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bg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bg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3E4D6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11"/>
          <c:y val="0.0226666666666667"/>
          <c:w val="0.67675"/>
          <c:h val="0.90233333333333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gradFill>
                <a:gsLst>
                  <a:gs pos="0">
                    <a:srgbClr val="7B32B2"/>
                  </a:gs>
                  <a:gs pos="100000">
                    <a:srgbClr val="401A5D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FE4444"/>
                  </a:gs>
                  <a:gs pos="100000">
                    <a:srgbClr val="832B2B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rgbClr val="FBFB11"/>
                  </a:gs>
                  <a:gs pos="100000">
                    <a:srgbClr val="838309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rgbClr val="9EE256"/>
                  </a:gs>
                  <a:gs pos="100000">
                    <a:srgbClr val="52762D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gradFill>
                <a:gsLst>
                  <a:gs pos="0">
                    <a:srgbClr val="007BD3"/>
                  </a:gs>
                  <a:gs pos="100000">
                    <a:srgbClr val="034373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gradFill>
                <a:gsLst>
                  <a:gs pos="0">
                    <a:srgbClr val="FECF40"/>
                  </a:gs>
                  <a:gs pos="100000">
                    <a:srgbClr val="846C21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bg2">
                        <a:lumMod val="10000"/>
                      </a:schemeClr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 c:formatCode="0.00_ ">
                  <c:v>投诉举报</c:v>
                </c:pt>
                <c:pt idx="1" c:formatCode="0.00_ ">
                  <c:v>监督抽验</c:v>
                </c:pt>
                <c:pt idx="2" c:formatCode="0.00_ ">
                  <c:v>执法检验</c:v>
                </c:pt>
                <c:pt idx="3" c:formatCode="0.00_ ">
                  <c:v>日常监管和专项检查</c:v>
                </c:pt>
                <c:pt idx="4" c:formatCode="0.00_ ">
                  <c:v>其他部门通报</c:v>
                </c:pt>
                <c:pt idx="5" c:formatCode="0.00_ ">
                  <c:v>其他</c:v>
                </c:pt>
              </c:strCache>
            </c:strRef>
          </c:cat>
          <c:val>
            <c:numRef>
              <c:f>Sheet1!$B$2:$B$7</c:f>
              <c:numCache>
                <c:formatCode>0_ </c:formatCode>
                <c:ptCount val="6"/>
                <c:pt idx="0">
                  <c:v>6</c:v>
                </c:pt>
                <c:pt idx="1">
                  <c:v>29</c:v>
                </c:pt>
                <c:pt idx="2">
                  <c:v>6</c:v>
                </c:pt>
                <c:pt idx="3">
                  <c:v>50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百分比</c:v>
                </c:pt>
              </c:strCache>
            </c:strRef>
          </c:tx>
          <c:spPr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explosion val="0"/>
          <c:dPt>
            <c:idx val="0"/>
            <c:bubble3D val="0"/>
            <c:spPr>
              <a:gradFill>
                <a:gsLst>
                  <a:gs pos="0">
                    <a:srgbClr val="7B32B2"/>
                  </a:gs>
                  <a:gs pos="100000">
                    <a:srgbClr val="401A5D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gradFill>
                <a:gsLst>
                  <a:gs pos="0">
                    <a:srgbClr val="FE4444"/>
                  </a:gs>
                  <a:gs pos="100000">
                    <a:srgbClr val="832B2B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2"/>
            <c:bubble3D val="0"/>
            <c:spPr>
              <a:gradFill>
                <a:gsLst>
                  <a:gs pos="0">
                    <a:srgbClr val="FBFB11"/>
                  </a:gs>
                  <a:gs pos="100000">
                    <a:srgbClr val="838309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3"/>
            <c:bubble3D val="0"/>
            <c:spPr>
              <a:gradFill>
                <a:gsLst>
                  <a:gs pos="0">
                    <a:srgbClr val="9EE256"/>
                  </a:gs>
                  <a:gs pos="100000">
                    <a:srgbClr val="52762D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4"/>
            <c:bubble3D val="0"/>
            <c:spPr>
              <a:gradFill>
                <a:gsLst>
                  <a:gs pos="0">
                    <a:srgbClr val="007BD3"/>
                  </a:gs>
                  <a:gs pos="100000">
                    <a:srgbClr val="034373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Pt>
            <c:idx val="5"/>
            <c:bubble3D val="0"/>
            <c:spPr>
              <a:gradFill>
                <a:gsLst>
                  <a:gs pos="0">
                    <a:srgbClr val="FECF40"/>
                  </a:gs>
                  <a:gs pos="100000">
                    <a:srgbClr val="846C21"/>
                  </a:gs>
                </a:gsLst>
                <a:lin ang="5400000" scaled="0"/>
              </a:gradFill>
              <a:ln>
                <a:noFill/>
              </a:ln>
              <a:effectLst>
                <a:outerShdw blurRad="50800" dist="38100" algn="l" rotWithShape="0">
                  <a:prstClr val="black">
                    <a:alpha val="40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 c:formatCode="0.00_ ">
                  <c:v>投诉举报</c:v>
                </c:pt>
                <c:pt idx="1" c:formatCode="0.00_ ">
                  <c:v>监督抽验</c:v>
                </c:pt>
                <c:pt idx="2" c:formatCode="0.00_ ">
                  <c:v>执法检验</c:v>
                </c:pt>
                <c:pt idx="3" c:formatCode="0.00_ ">
                  <c:v>日常监管和专项检查</c:v>
                </c:pt>
                <c:pt idx="4" c:formatCode="0.00_ ">
                  <c:v>其他部门通报</c:v>
                </c:pt>
                <c:pt idx="5" c:formatCode="0.00_ ">
                  <c:v>其他</c:v>
                </c:pt>
              </c:strCache>
            </c:strRef>
          </c:cat>
          <c:val>
            <c:numRef>
              <c:f>Sheet1!$C$2:$C$7</c:f>
              <c:numCache>
                <c:formatCode>0.00%</c:formatCode>
                <c:ptCount val="6"/>
                <c:pt idx="0">
                  <c:v>0.0594</c:v>
                </c:pt>
                <c:pt idx="1">
                  <c:v>0.2872</c:v>
                </c:pt>
                <c:pt idx="2">
                  <c:v>0.0594</c:v>
                </c:pt>
                <c:pt idx="3">
                  <c:v>0.495</c:v>
                </c:pt>
                <c:pt idx="4">
                  <c:v>0.0495</c:v>
                </c:pt>
                <c:pt idx="5">
                  <c:v>0.0495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4"/>
        <c:holeSize val="50"/>
      </c:doughnut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rgbClr val="00206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455"/>
          <c:y val="0.524833333333333"/>
          <c:w val="0.24"/>
          <c:h val="0.4701666666666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rgbClr val="00206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blipFill>
      <a:blip xmlns:r="http://schemas.openxmlformats.org/officeDocument/2006/relationships" r:embed="rId2"/>
      <a:tile tx="0" ty="0" sx="100000" sy="100000" flip="none" algn="tl"/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18900000" algn="bl" rotWithShape="0">
        <a:prstClr val="black">
          <a:alpha val="40000"/>
        </a:prstClr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案件数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35C7D"/>
                </a:gs>
              </a:gsLst>
              <a:path path="circle"/>
            </a:gra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6"/>
                  <c:y val="-0.01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25"/>
                  <c:y val="0.01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6">
                        <a:lumMod val="5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案值（万元）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path path="circle"/>
            </a:gra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5625"/>
                  <c:y val="0.0025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1">
                        <a:lumMod val="5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0.53</c:v>
                </c:pt>
                <c:pt idx="1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罚没款（万元）</c:v>
                </c:pt>
              </c:strCache>
            </c:strRef>
          </c:tx>
          <c:spPr>
            <a:gradFill>
              <a:gsLst>
                <a:gs pos="0">
                  <a:srgbClr val="FECF40"/>
                </a:gs>
                <a:gs pos="100000">
                  <a:srgbClr val="846C21"/>
                </a:gs>
              </a:gsLst>
              <a:path path="circle"/>
            </a:gra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.099375"/>
                  <c:y val="-0.0025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cap="none" spc="0" normalizeH="0" baseline="0">
                    <a:solidFill>
                      <a:schemeClr val="accent4">
                        <a:lumMod val="50000"/>
                      </a:schemeClr>
                    </a:solidFill>
                    <a:uFill>
                      <a:solidFill>
                        <a:schemeClr val="bg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2017年第3季度</c:v>
                </c:pt>
                <c:pt idx="1">
                  <c:v>2018年第3季度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1.52</c:v>
                </c:pt>
                <c:pt idx="1">
                  <c:v>0.14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0"/>
        <c:axId val="247185034"/>
        <c:axId val="464812881"/>
      </c:barChart>
      <c:catAx>
        <c:axId val="24718503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cap="all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64812881"/>
        <c:crosses val="autoZero"/>
        <c:auto val="1"/>
        <c:lblAlgn val="ctr"/>
        <c:lblOffset val="100"/>
        <c:noMultiLvlLbl val="0"/>
      </c:catAx>
      <c:valAx>
        <c:axId val="46481288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18503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75000"/>
                      <a:lumOff val="2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75000"/>
                    <a:lumOff val="2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blipFill rotWithShape="1">
      <a:blip xmlns:r="http://schemas.openxmlformats.org/officeDocument/2006/relationships" r:embed="rId2"/>
      <a:tile tx="0" ty="0" sx="100000" sy="100000" flip="none" algn="tl"/>
    </a:blip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7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2018-04-04T02:38:00Z</dcterms:created>
  <dc:creator>TX</dc:creator>
  <cp:lastModifiedBy>じ♂☆【欣】</cp:lastModifiedBy>
  <cp:lastPrinted>2018-09-06T02:28:00Z</cp:lastPrinted>
  <dcterms:modified xsi:type="dcterms:W3CDTF">2018-11-01T03:55:50Z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