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宁夏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医疗机构制剂（中药）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质量标准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复核指导原则和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技术要求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确保医疗机构制剂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质量标准的科学性、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适用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性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及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可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操作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性，保证设定的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项目、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方法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及限度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指标能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够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控制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制剂的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质量，规范标准复核工作，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进一步加强我省医疗机构制剂质量的控制，确保临床用药安全有效，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特制定本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复核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指导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原则和技术要求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书宋_GBK" w:hAnsi="方正书宋_GBK" w:eastAsia="方正书宋_GBK" w:cs="方正书宋_GBK"/>
          <w:b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b/>
          <w:sz w:val="32"/>
          <w:szCs w:val="32"/>
        </w:rPr>
        <w:t>1. 指导原则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必须遵循《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宁夏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医疗机构（中药）制剂质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  <w:t>量标准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  <w:t>制定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  <w:t>指导原则与技术要求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eastAsia="zh-CN"/>
        </w:rPr>
        <w:t>（试行）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  <w:t>》的相关规定对拟定制剂标准中的所有项目及文字进行认真复核。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eastAsia="zh-CN"/>
        </w:rPr>
        <w:t>核查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  <w:t>制剂标准项目设置的完整性、方法的可操作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性与限度的合理性，核查标准的格式、文字是否规范准确。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依据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现行版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《中国药典》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及《国家药品标准工作手册》（第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版）的要求进行规范性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复核工作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根据复核结果对拟定标准中各项内容提出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复核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意见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，复核意见中需对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检验方法的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专属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性、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准确性、灵敏度、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重现性及可行性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作出评价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书宋_GBK" w:hAnsi="方正书宋_GBK" w:eastAsia="方正书宋_GBK" w:cs="方正书宋_GBK"/>
          <w:b/>
          <w:sz w:val="32"/>
          <w:szCs w:val="32"/>
          <w:lang w:val="en-US" w:eastAsia="zh-CN"/>
        </w:rPr>
      </w:pPr>
      <w:r>
        <w:rPr>
          <w:rFonts w:hint="eastAsia" w:ascii="方正书宋_GBK" w:hAnsi="方正书宋_GBK" w:eastAsia="方正书宋_GBK" w:cs="方正书宋_GBK"/>
          <w:b/>
          <w:sz w:val="32"/>
          <w:szCs w:val="32"/>
          <w:lang w:val="en-US" w:eastAsia="zh-CN"/>
        </w:rPr>
        <w:t>2  复核的资料和样品要求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起草单位提供的技术资料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包括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请复核公文、质量标准草案、起草说明、复核用样品检验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结果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、复核用样品、复核用对照物质等，确认上述资料完整并基本符合起草技术要求后，安排实验复核工作。否则，应向起草单位提出补充资料或退回的要求。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供质量标准复核用样品应具有代表性，一般不得少于3批次。样品应包装完整，有完整标签，无正规标签的样品，必需贴有临时标签。标签内容至少包括：检品名称、生产日期、生产单位等；有特殊储存条件要求的，标签上需注明储存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复核用对照物质，如为中国食品药品检定研究院能提供的品种由复核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单位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自行购买。如是新增对照物质，由起草单位提供给复核所，并提供新增对照物质相应的技术资料。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质量标准正文应按《中国药典》体例格式的要求编写，质量标准起草说明应对标准中所收项目的内容分别进行说明。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书宋_GBK" w:hAnsi="方正书宋_GBK" w:eastAsia="方正书宋_GBK" w:cs="方正书宋_GBK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书宋_GBK" w:hAnsi="方正书宋_GBK" w:eastAsia="方正书宋_GBK" w:cs="方正书宋_GBK"/>
          <w:b/>
          <w:sz w:val="32"/>
          <w:szCs w:val="32"/>
          <w:lang w:val="en-US" w:eastAsia="zh-CN"/>
        </w:rPr>
        <w:t>3  复核的技术要求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复核试验应按照《中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  <w:t>国药典》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  <w:t>四部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  <w:t>附录和《中国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药品检验标准操作规范》规定的技术要求进行。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 xml:space="preserve">1  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性状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考察标准草案中描述的性状是否与样品符合。性状中的颜色描述可规定一定的幅度范围。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植物油脂和提取物的溶解度、相对密度、折光率、比旋度、熔点等理化常数的复核数据应在规定的范围内。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.2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鉴别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考察设立的鉴别项目是否具有专属性和良好的重现性。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.2.1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显微鉴别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考察显微特征是否明显易辨；是否具有专属性或特征性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；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描述用语是否规范、准确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；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制剂中的显微特征是否已归属到处方具体药味。同时，根据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【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处方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】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-【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制法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】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判断是否关键药味（君药、臣药、贵重药或毒性药）的特征都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收入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正文。对制剂镜检出现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概率低于40%（制片10张，检出规定特征的应不少于4张）的或镜检难度大，且已有TLC鉴别该药味的，可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不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正文规定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3.2.2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 xml:space="preserve">化学鉴别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包括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各类沉淀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反应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、颜色反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应或荧光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颜色反应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气体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反应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等。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反应应灵敏，易于辨别。考察供试品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和试剂、试药的取用量（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或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浓度）及所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需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的器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皿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温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度条件等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是否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适宜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；供试品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处理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方法是否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合理、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简便；是否有假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阳性干扰。对专属性较差、需特殊试剂和试药，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或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可以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其他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鉴别方法取代的，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应建议删除。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薄层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色谱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鉴别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考察供试品取样量、制备方法是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否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合理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；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对照品配制溶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、浓度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是否适宜；对照药材用量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、制备方法是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否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合理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；固定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相、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展开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剂、点样量、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显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色条件和检视方法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是否适宜；色谱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分离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是否良好，斑点是否清晰，供试品和对照物质的的色谱特征是否一致，方法是否具有专属性。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对采用对照药材对照的，应要求供试品与对照药材的主要特征斑点相一致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必要时，应采用对照品和对照药材双重对照。多来源药材的色谱行为要重点考察，如不一致应明确原因并提出对来源进行限定的意见（存在多来源药材的，起草单位应提供每种来源对照药材各一份，以备复核所考察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气相色谱和高效液相色谱鉴别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考察供试品制备方法是否合理，供试液进样量、色谱条件（含色谱柱种类、柱温、流速、梯度、流动相组成及比例、检测器类型和参数)、鉴别成分峰的保留时间是否适宜，色谱分离是否良好，方法是否具有专属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复核试验不应采用与起草标准时使用的同一支色谱柱试验。允许调整色谱柱的内径、长度，固定相的粒度，柱温、进样量、检测器灵敏度以及流动相比例、流速（高效液相色谱法），固定液涂布浓度和载气流速（气相色谱法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.2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光谱鉴别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考察供试品、试剂（试药）的取用量、浓度等是否适宜；提取、纯化或显色处理的条件是否适宜；鉴别参数（例如，紫外光谱的最大吸收峰或最小吸收峰波长、吸光度比值等）确定是否合理；方法是否具有专属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.3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检查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有特殊限量规定和通则外检查项目的按标准草案方法进行试验，考察可行性和限度的合理性。其余按《中国药典》一部附录规定的方法实验复核，并考察限度的合理性。复核结果应在限度范围内。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3.3.1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 xml:space="preserve"> 微生物限度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重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点考察微生物限度检查方法适用性试验资料：①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供试品溶液制备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方法的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合理性，是否能够使供试品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溶散均匀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；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②计数方法适用性试验的可行性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；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③控制菌检查方法适用性试验的可行性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；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④限度标准的合规性。⑤计数方法与限度标准的符合性。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.4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浸出物测定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考察供试品取样量，溶剂及使用量、浸渍方法（冷浸法、热浸法）、浸渍时间、干燥方式等是否适宜；限度值是否合理。复核测定两份结果的相对平均偏差不得大于2%。与起草单位数据的相对平均偏差不得大于10%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5  含量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测定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包括分光光度法（紫外一可见分光光度法、原子吸收分光光度法）、色谱法（薄层色谱扫描法、高效液相色谱法、气相色谱法等)、容量法和重量法等。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.5.1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紫外-可见分光光度法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.5.1.1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对照品比较法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考察供试品取样量、提取和纯化方法、稀释倍数是否适宜；测定用溶剂、对照品浓度、测定波长、吸光度值（应在0.3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~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0.7之间）等是否合理；含量限度是否合理。复核测定两份结果的相对平均偏差不得大于2%。与起草单位数据的相对平均偏差不得大于10%。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.5.1.2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比色法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考察供试品取样量、提取和纯化方法、稀释倍数、显色剂的用量等是否适宜；显色条件如温度、时间等是否合理；供试品溶液中被测成分量是否在标准曲线测定范围；重现性是否良好；含量限度是否合理。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用对照品和供试品比色液在400~760m测定吸收图谱，验证测定波长。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复核测定两份结果的相对平均偏差不得大于3%。与起草单位数据的相对平均偏差不得大于10%。如不符合要求，应查找差异大的原因或与起草单位在相同条件下再复试。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5.2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薄层色谱扫描法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考察供试品取样量、提取和纯化方法、点样量等是否适宜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；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对照品用量、浓度、溶剂、点样量是否适宜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；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固定相、展开剂、显色剂和检视方法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是否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适宜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；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扫描方式、测定波长是否合理：色谱分离、扫描效果是否良好；供试品中被测成分量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是否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在线性范围内：测定结果是否重现良好；含量限度是否合理。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对照品和供试品斑点在测定波长区间（紫外测定为200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~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400mm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可见光测定为400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~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700nm)进行波长扫描，验证测定波长。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复核测定两份结果的相对平均偏差不得大于5%。与起草单位数据的相对平均偏差不得大于15%。如不符合要求，应查找差异大的原因或与起草单位在相同条件下再复试。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5.3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高效液相色谱法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考察供试品取样量、提取和纯化方法等是否适宜；对照品用量、浓度、溶剂等是否适宜；色谱柱类型、流动相（组成和比例）、洗脱梯度、检测波长（或其他检测器参数）是否合理；色谱分离效果是否良好；理论板数和分离度等规定的数值是否可行；被测成分峰是否有干扰；供试品中的被测成分测定量是否在线性范围内；含量限度是否合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复核试验不应采用与标准起草时使用的同一支色谱柱，允许选择调整色谱柱商品型号、内径、长度、固定相粒度等，允许调整流动相比例、柱温、检测器灵敏度、进样量等。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复核测定两份结果的相对平均偏差不得大于3%。与起草单位数据的相对平均偏差不得大于10%。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.5.4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气相色谱法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考察供试品取样量、提取和纯化方法等是否适宜；对照品用量、浓度、溶剂等是否适宜；固定液种类、程序升温梯度、柱温、检测器温度、进样口温度等参数设置是否合理；色谱分离效果是否良好；理论板数和分离度等规定的数值是否可行；被测成分蜂是否有干扰；供试品中的被测成分测定量是否在线性范围内；含量限度是否合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复核试验不应采用与标准起草时使用的同一支色谱柱，允许选择调整色谱柱商品型号、固定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液涂布浓度、柱内径、长度、载体型号、载气流速、柱温、检测器温度、进样口温度、检测器灵敏度、进样量等。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复核测定两份结果的相对平均偏差不得大于3%。与起草单位数据的相对平均偏差不得大于10%。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ˎ̥">
    <w:altName w:val="华文中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OTVlYWExZTIwZTc2MWRmY2VlZGVmY2FhNGI4MGIifQ=="/>
  </w:docVars>
  <w:rsids>
    <w:rsidRoot w:val="034360DB"/>
    <w:rsid w:val="034360DB"/>
    <w:rsid w:val="0A506B50"/>
    <w:rsid w:val="0BD80DD1"/>
    <w:rsid w:val="10042CED"/>
    <w:rsid w:val="127E6D86"/>
    <w:rsid w:val="12F42BA4"/>
    <w:rsid w:val="165C0D50"/>
    <w:rsid w:val="17F90C5D"/>
    <w:rsid w:val="1BAE33B0"/>
    <w:rsid w:val="1D532BBD"/>
    <w:rsid w:val="1E2F53D8"/>
    <w:rsid w:val="1F15775C"/>
    <w:rsid w:val="251F047F"/>
    <w:rsid w:val="259501CB"/>
    <w:rsid w:val="28E250AB"/>
    <w:rsid w:val="2BEE4588"/>
    <w:rsid w:val="2E2D55A6"/>
    <w:rsid w:val="37822E10"/>
    <w:rsid w:val="37C329C2"/>
    <w:rsid w:val="38975BFC"/>
    <w:rsid w:val="3C4A3258"/>
    <w:rsid w:val="3EFFC1D0"/>
    <w:rsid w:val="40E774EE"/>
    <w:rsid w:val="44B41F7A"/>
    <w:rsid w:val="48234F2A"/>
    <w:rsid w:val="48F901F9"/>
    <w:rsid w:val="4B2C227F"/>
    <w:rsid w:val="5397660A"/>
    <w:rsid w:val="55833704"/>
    <w:rsid w:val="56D77DE0"/>
    <w:rsid w:val="59E63722"/>
    <w:rsid w:val="5BF46C97"/>
    <w:rsid w:val="5FBE21E7"/>
    <w:rsid w:val="63EE6769"/>
    <w:rsid w:val="63EF412F"/>
    <w:rsid w:val="67654F94"/>
    <w:rsid w:val="69FFAD36"/>
    <w:rsid w:val="6BF75FF6"/>
    <w:rsid w:val="79472C05"/>
    <w:rsid w:val="7FA4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3264</Words>
  <Characters>3380</Characters>
  <Lines>0</Lines>
  <Paragraphs>0</Paragraphs>
  <TotalTime>28</TotalTime>
  <ScaleCrop>false</ScaleCrop>
  <LinksUpToDate>false</LinksUpToDate>
  <CharactersWithSpaces>3448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2024-04-30T18:20:00Z</dcterms:created>
  <dc:creator>Holo</dc:creator>
  <cp:lastModifiedBy>yjj</cp:lastModifiedBy>
  <cp:lastPrinted>2024-05-07T16:37:00Z</cp:lastPrinted>
  <dcterms:modified xsi:type="dcterms:W3CDTF">2024-05-30T16:30:24Z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177476BA03809BC120395866EC2B83DE</vt:lpwstr>
  </property>
</Properties>
</file>