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b/>
          <w:sz w:val="44"/>
          <w:szCs w:val="44"/>
        </w:rPr>
      </w:pPr>
      <w:bookmarkStart w:id="0" w:name="_GoBack"/>
      <w:bookmarkEnd w:id="0"/>
      <w:r>
        <w:rPr>
          <w:rFonts w:hint="eastAsia" w:ascii="宋体" w:hAnsi="宋体"/>
          <w:b/>
          <w:sz w:val="44"/>
          <w:szCs w:val="44"/>
          <w:lang w:val="en-US" w:eastAsia="zh-CN"/>
        </w:rPr>
        <w:t>2019年下半年</w:t>
      </w:r>
      <w:r>
        <w:rPr>
          <w:rFonts w:hint="eastAsia" w:ascii="宋体" w:hAnsi="宋体"/>
          <w:b/>
          <w:sz w:val="44"/>
          <w:szCs w:val="44"/>
        </w:rPr>
        <w:t>医疗器械生产企业监督检查信息汇总表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tbl>
      <w:tblPr>
        <w:tblStyle w:val="8"/>
        <w:tblW w:w="13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415"/>
        <w:gridCol w:w="865"/>
        <w:gridCol w:w="1132"/>
        <w:gridCol w:w="1976"/>
        <w:gridCol w:w="3424"/>
        <w:gridCol w:w="188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序号</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企业名称</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检查类别</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检查人员</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检查日期</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检查中存在问题</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采取的措施</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w:t>
            </w:r>
          </w:p>
        </w:tc>
        <w:tc>
          <w:tcPr>
            <w:tcW w:w="241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sz w:val="24"/>
              </w:rPr>
              <w:t>宁夏佑安医疗器械有限公司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飞行检查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跟踪检查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冯  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沈明辉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张  晟</w:t>
            </w:r>
          </w:p>
        </w:tc>
        <w:tc>
          <w:tcPr>
            <w:tcW w:w="1976"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w:t>
            </w:r>
            <w:r>
              <w:rPr>
                <w:rFonts w:hint="eastAsia" w:ascii="仿宋_GB2312" w:eastAsia="仿宋_GB2312" w:cs="仿宋_GB2312"/>
                <w:sz w:val="24"/>
                <w:szCs w:val="24"/>
                <w:lang w:val="en-US" w:eastAsia="zh-CN"/>
              </w:rPr>
              <w:t>0.30</w:t>
            </w:r>
          </w:p>
        </w:tc>
        <w:tc>
          <w:tcPr>
            <w:tcW w:w="3424"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hAnsi="宋体" w:eastAsia="仿宋_GB2312"/>
                <w:sz w:val="24"/>
                <w:lang w:val="en-US" w:eastAsia="zh-CN"/>
              </w:rPr>
              <w:t>企业负责人尚未开展管理评审。</w:t>
            </w:r>
          </w:p>
        </w:tc>
        <w:tc>
          <w:tcPr>
            <w:tcW w:w="1880"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限期整改</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hAnsi="宋体" w:eastAsia="仿宋_GB2312"/>
                <w:sz w:val="24"/>
                <w:lang w:val="en-US" w:eastAsia="zh-CN"/>
              </w:rPr>
              <w:t>企业处于停产状态。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2</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宁夏泉水药业有限公司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飞行检查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跟踪检查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王松安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沈明辉</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王</w:t>
            </w:r>
            <w:r>
              <w:rPr>
                <w:rFonts w:hint="eastAsia" w:ascii="仿宋_GB2312" w:eastAsia="仿宋_GB2312"/>
                <w:sz w:val="24"/>
                <w:lang w:val="en-US" w:eastAsia="zh-CN"/>
              </w:rPr>
              <w:t xml:space="preserve">  </w:t>
            </w:r>
            <w:r>
              <w:rPr>
                <w:rFonts w:hint="eastAsia" w:ascii="仿宋_GB2312" w:eastAsia="仿宋_GB2312"/>
                <w:sz w:val="24"/>
                <w:lang w:eastAsia="zh-CN"/>
              </w:rPr>
              <w:t>凯</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w:t>
            </w:r>
            <w:r>
              <w:rPr>
                <w:rFonts w:hint="eastAsia" w:ascii="仿宋_GB2312" w:eastAsia="仿宋_GB2312" w:cs="仿宋_GB2312"/>
                <w:sz w:val="24"/>
                <w:szCs w:val="24"/>
                <w:lang w:val="en-US" w:eastAsia="zh-CN"/>
              </w:rPr>
              <w:t>1.13</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lang w:val="en-US" w:eastAsia="zh-CN"/>
              </w:rPr>
            </w:pP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通过检查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3</w:t>
            </w:r>
          </w:p>
        </w:tc>
        <w:tc>
          <w:tcPr>
            <w:tcW w:w="241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宁夏力灵医药有限公司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飞行检查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冯  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hAnsi="宋体" w:eastAsia="仿宋_GB2312"/>
                <w:sz w:val="24"/>
                <w:lang w:val="en-US" w:eastAsia="zh-CN"/>
              </w:rPr>
              <w:t>王  凯</w:t>
            </w:r>
          </w:p>
        </w:tc>
        <w:tc>
          <w:tcPr>
            <w:tcW w:w="1976"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11</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20</w:t>
            </w:r>
          </w:p>
        </w:tc>
        <w:tc>
          <w:tcPr>
            <w:tcW w:w="3424"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lang w:val="en-US" w:eastAsia="zh-CN"/>
              </w:rPr>
            </w:pPr>
          </w:p>
        </w:tc>
        <w:tc>
          <w:tcPr>
            <w:tcW w:w="1880"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p>
        </w:tc>
        <w:tc>
          <w:tcPr>
            <w:tcW w:w="1423" w:type="dxa"/>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eastAsia" w:ascii="仿宋_GB2312" w:eastAsia="仿宋_GB2312"/>
                <w:sz w:val="24"/>
                <w:lang w:eastAsia="zh-CN"/>
              </w:rPr>
            </w:pPr>
            <w:r>
              <w:rPr>
                <w:rFonts w:hint="eastAsia" w:ascii="仿宋_GB2312" w:hAnsi="宋体" w:eastAsia="仿宋_GB2312"/>
                <w:sz w:val="24"/>
              </w:rPr>
              <w:t>现场检查时企业生产厂房关闭，无相关生产人员，无生产痕迹，处于停产状态。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4</w:t>
            </w:r>
          </w:p>
        </w:tc>
        <w:tc>
          <w:tcPr>
            <w:tcW w:w="241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宁夏华氏仁康假肢有限公司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飞行检查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冯  琳</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hAnsi="宋体" w:eastAsia="仿宋_GB2312"/>
                <w:sz w:val="24"/>
                <w:lang w:val="en-US" w:eastAsia="zh-CN"/>
              </w:rPr>
              <w:t>王  凯</w:t>
            </w:r>
          </w:p>
        </w:tc>
        <w:tc>
          <w:tcPr>
            <w:tcW w:w="1976"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11</w:t>
            </w:r>
            <w:r>
              <w:rPr>
                <w:rFonts w:hint="eastAsia" w:ascii="仿宋_GB2312" w:eastAsia="仿宋_GB2312" w:cs="仿宋_GB2312"/>
                <w:sz w:val="24"/>
                <w:szCs w:val="24"/>
                <w:lang w:val="en-US" w:eastAsia="zh-CN"/>
              </w:rPr>
              <w:t>.19</w:t>
            </w:r>
          </w:p>
        </w:tc>
        <w:tc>
          <w:tcPr>
            <w:tcW w:w="3424"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lang w:val="en-US" w:eastAsia="zh-CN"/>
              </w:rPr>
            </w:pPr>
          </w:p>
        </w:tc>
        <w:tc>
          <w:tcPr>
            <w:tcW w:w="1880" w:type="dxa"/>
            <w:textDirection w:val="lrTb"/>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sz w:val="24"/>
                <w:lang w:eastAsia="zh-CN"/>
              </w:rPr>
            </w:pPr>
          </w:p>
        </w:tc>
        <w:tc>
          <w:tcPr>
            <w:tcW w:w="1423" w:type="dxa"/>
            <w:textDirection w:val="lrTb"/>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hAnsi="宋体" w:eastAsia="仿宋_GB2312"/>
                <w:sz w:val="24"/>
              </w:rPr>
              <w:t>现场检查企业备案</w:t>
            </w:r>
            <w:r>
              <w:rPr>
                <w:rFonts w:hint="eastAsia" w:ascii="仿宋_GB2312" w:hAnsi="宋体" w:eastAsia="仿宋_GB2312"/>
                <w:sz w:val="24"/>
                <w:lang w:eastAsia="zh-CN"/>
              </w:rPr>
              <w:t>的</w:t>
            </w:r>
            <w:r>
              <w:rPr>
                <w:rFonts w:hint="eastAsia" w:ascii="仿宋_GB2312" w:hAnsi="宋体" w:eastAsia="仿宋_GB2312"/>
                <w:sz w:val="24"/>
              </w:rPr>
              <w:t>生产</w:t>
            </w:r>
            <w:r>
              <w:rPr>
                <w:rFonts w:hint="eastAsia" w:ascii="仿宋_GB2312" w:hAnsi="宋体" w:eastAsia="仿宋_GB2312"/>
                <w:sz w:val="24"/>
                <w:lang w:eastAsia="zh-CN"/>
              </w:rPr>
              <w:t>地址已搬空，不再从事生产，已将相关情况函至银川市行政审批服务管理局。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5</w:t>
            </w:r>
          </w:p>
        </w:tc>
        <w:tc>
          <w:tcPr>
            <w:tcW w:w="2415" w:type="dxa"/>
            <w:textDirection w:val="lrTb"/>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宁夏康美瑞医疗器械有限公司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飞行检查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冯  琳</w:t>
            </w:r>
          </w:p>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hAnsi="宋体" w:eastAsia="仿宋_GB2312"/>
                <w:sz w:val="24"/>
                <w:lang w:val="en-US" w:eastAsia="zh-CN"/>
              </w:rPr>
              <w:t>王  凯</w:t>
            </w:r>
          </w:p>
        </w:tc>
        <w:tc>
          <w:tcPr>
            <w:tcW w:w="1976" w:type="dxa"/>
            <w:textDirection w:val="lrTb"/>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11</w:t>
            </w:r>
            <w:r>
              <w:rPr>
                <w:rFonts w:hint="eastAsia" w:ascii="仿宋_GB2312" w:eastAsia="仿宋_GB2312" w:cs="仿宋_GB2312"/>
                <w:sz w:val="24"/>
                <w:szCs w:val="24"/>
                <w:lang w:val="en-US" w:eastAsia="zh-CN"/>
              </w:rPr>
              <w:t>.19</w:t>
            </w:r>
          </w:p>
        </w:tc>
        <w:tc>
          <w:tcPr>
            <w:tcW w:w="3424" w:type="dxa"/>
            <w:textDirection w:val="lrTb"/>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lang w:val="en-US" w:eastAsia="zh-CN"/>
              </w:rPr>
            </w:pPr>
          </w:p>
        </w:tc>
        <w:tc>
          <w:tcPr>
            <w:tcW w:w="1880" w:type="dxa"/>
            <w:textDirection w:val="lrTb"/>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p>
        </w:tc>
        <w:tc>
          <w:tcPr>
            <w:tcW w:w="1423" w:type="dxa"/>
            <w:textDirection w:val="lrTb"/>
            <w:vAlign w:val="top"/>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hAnsi="宋体" w:eastAsia="仿宋_GB2312"/>
                <w:sz w:val="24"/>
              </w:rPr>
              <w:t>现场检查时企业厂房关闭，无相关生产人员，无生产痕迹，处于停产状态。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6</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银川健春医疗器械厂</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飞行检查</w:t>
            </w:r>
          </w:p>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跟踪检查</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hAnsi="宋体" w:eastAsia="仿宋_GB2312"/>
                <w:sz w:val="24"/>
                <w:lang w:val="en-US" w:eastAsia="zh-CN"/>
              </w:rPr>
            </w:pPr>
            <w:r>
              <w:rPr>
                <w:rFonts w:hint="eastAsia" w:ascii="仿宋_GB2312" w:hAnsi="宋体" w:eastAsia="仿宋_GB2312"/>
                <w:sz w:val="24"/>
                <w:lang w:val="en-US" w:eastAsia="zh-CN"/>
              </w:rPr>
              <w:t>冯  琳</w:t>
            </w:r>
          </w:p>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hAnsi="宋体" w:eastAsia="仿宋_GB2312"/>
                <w:sz w:val="24"/>
                <w:lang w:val="en-US" w:eastAsia="zh-CN"/>
              </w:rPr>
              <w:t>王  凯</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11</w:t>
            </w:r>
            <w:r>
              <w:rPr>
                <w:rFonts w:hint="eastAsia" w:ascii="仿宋_GB2312" w:eastAsia="仿宋_GB2312" w:cs="仿宋_GB2312"/>
                <w:sz w:val="24"/>
                <w:szCs w:val="24"/>
                <w:lang w:val="en-US" w:eastAsia="zh-CN"/>
              </w:rPr>
              <w:t>.29</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lang w:val="en-US" w:eastAsia="zh-CN"/>
              </w:rPr>
            </w:pPr>
            <w:r>
              <w:rPr>
                <w:rFonts w:hint="eastAsia" w:ascii="仿宋_GB2312" w:hAnsi="宋体" w:eastAsia="仿宋_GB2312" w:cs="仿宋_GB2312"/>
                <w:lang w:val="en-US" w:eastAsia="zh-CN"/>
              </w:rPr>
              <w:t>1、企业新任命的管理者代表仅为中专学历，不符合要求；2、部分记录涂改后未签名、标注日期；3、现场使用的文件无受控标识；4、生产记录中原材料批号信息不全；5、已检验合格产品放置在待验区；6、建立的内部审核程序没有操作性。</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限期整改</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82"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7</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宁夏乐嘉医疗器材有限公司</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日常</w:t>
            </w:r>
          </w:p>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监督检查</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王松安</w:t>
            </w:r>
          </w:p>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冯</w:t>
            </w:r>
            <w:r>
              <w:rPr>
                <w:rFonts w:hint="eastAsia" w:ascii="仿宋_GB2312" w:eastAsia="仿宋_GB2312"/>
                <w:sz w:val="24"/>
                <w:lang w:val="en-US" w:eastAsia="zh-CN"/>
              </w:rPr>
              <w:t xml:space="preserve">  </w:t>
            </w:r>
            <w:r>
              <w:rPr>
                <w:rFonts w:hint="eastAsia" w:ascii="仿宋_GB2312" w:eastAsia="仿宋_GB2312"/>
                <w:sz w:val="24"/>
                <w:lang w:eastAsia="zh-CN"/>
              </w:rPr>
              <w:t>琳</w:t>
            </w:r>
          </w:p>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王</w:t>
            </w:r>
            <w:r>
              <w:rPr>
                <w:rFonts w:hint="eastAsia" w:ascii="仿宋_GB2312" w:eastAsia="仿宋_GB2312"/>
                <w:sz w:val="24"/>
                <w:lang w:val="en-US" w:eastAsia="zh-CN"/>
              </w:rPr>
              <w:t xml:space="preserve">  </w:t>
            </w:r>
            <w:r>
              <w:rPr>
                <w:rFonts w:hint="eastAsia" w:ascii="仿宋_GB2312" w:eastAsia="仿宋_GB2312"/>
                <w:sz w:val="24"/>
                <w:lang w:eastAsia="zh-CN"/>
              </w:rPr>
              <w:t>凯</w:t>
            </w:r>
          </w:p>
        </w:tc>
        <w:tc>
          <w:tcPr>
            <w:tcW w:w="1976"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w:t>
            </w:r>
            <w:r>
              <w:rPr>
                <w:rFonts w:hint="eastAsia" w:ascii="仿宋_GB2312" w:eastAsia="仿宋_GB2312" w:cs="仿宋_GB2312"/>
                <w:sz w:val="24"/>
                <w:szCs w:val="24"/>
                <w:lang w:val="en-US" w:eastAsia="zh-CN"/>
              </w:rPr>
              <w:t>2.3</w:t>
            </w:r>
          </w:p>
        </w:tc>
        <w:tc>
          <w:tcPr>
            <w:tcW w:w="3424"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lang w:val="en-US" w:eastAsia="zh-CN"/>
              </w:rPr>
            </w:pPr>
            <w:r>
              <w:rPr>
                <w:rFonts w:hint="eastAsia" w:ascii="仿宋_GB2312" w:hAnsi="宋体" w:eastAsia="仿宋_GB2312" w:cs="仿宋_GB2312"/>
                <w:lang w:val="en-US" w:eastAsia="zh-CN"/>
              </w:rPr>
              <w:t>1、企业现场不能够提供定期对在洁净区工作人员进行卫生和微生物学基础知识、洁净技术等方面培训的资料；2、环氧乙烷灭菌车间采用自然解析，车间内缺少排风设施；3、环氧乙烷灭菌车间未安装冲洗喷淋装置</w:t>
            </w:r>
            <w:r>
              <w:rPr>
                <w:rFonts w:hint="eastAsia" w:ascii="仿宋_GB2312" w:hAnsi="宋体" w:eastAsia="仿宋_GB2312" w:cs="仿宋_GB2312"/>
                <w:color w:val="auto"/>
                <w:lang w:val="en-US" w:eastAsia="zh-CN"/>
              </w:rPr>
              <w:t>；4、产品采用环氧乙烷灭菌后自然放置解析，冬天解析区温度无法满足设计文件要求。5、实验室采购的实验用菌株现场不能提供检验报告；6、试生产记录中原材料批号信息不全。</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限期整改</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10" w:lineRule="exact"/>
              <w:ind w:left="0" w:leftChars="0" w:right="0" w:rightChars="0" w:firstLine="0" w:firstLineChars="0"/>
              <w:jc w:val="both"/>
              <w:textAlignment w:val="auto"/>
              <w:outlineLvl w:val="9"/>
              <w:rPr>
                <w:rFonts w:hint="eastAsia" w:ascii="仿宋_GB2312" w:eastAsia="仿宋_GB2312"/>
                <w:sz w:val="24"/>
                <w:lang w:eastAsia="zh-CN"/>
              </w:rPr>
            </w:pPr>
            <w:r>
              <w:rPr>
                <w:rFonts w:hint="eastAsia" w:ascii="仿宋_GB2312" w:eastAsia="仿宋_GB2312"/>
                <w:sz w:val="24"/>
                <w:lang w:eastAsia="zh-CN"/>
              </w:rPr>
              <w:t>企业尚未正式开展生产。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8</w:t>
            </w:r>
          </w:p>
        </w:tc>
        <w:tc>
          <w:tcPr>
            <w:tcW w:w="2415"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olor w:val="000000" w:themeColor="text1"/>
                <w:sz w:val="24"/>
                <w14:textFill>
                  <w14:solidFill>
                    <w14:schemeClr w14:val="tx1"/>
                  </w14:solidFill>
                </w14:textFill>
              </w:rPr>
              <w:t>宁夏派瑞义齿科技有限公司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日常</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监督检查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冯</w:t>
            </w:r>
            <w:r>
              <w:rPr>
                <w:rFonts w:hint="eastAsia" w:ascii="仿宋_GB2312" w:eastAsia="仿宋_GB2312"/>
                <w:sz w:val="24"/>
                <w:lang w:val="en-US" w:eastAsia="zh-CN"/>
              </w:rPr>
              <w:t xml:space="preserve">  </w:t>
            </w:r>
            <w:r>
              <w:rPr>
                <w:rFonts w:hint="eastAsia" w:ascii="仿宋_GB2312" w:eastAsia="仿宋_GB2312"/>
                <w:sz w:val="24"/>
                <w:lang w:eastAsia="zh-CN"/>
              </w:rPr>
              <w:t>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王</w:t>
            </w:r>
            <w:r>
              <w:rPr>
                <w:rFonts w:hint="eastAsia" w:ascii="仿宋_GB2312" w:eastAsia="仿宋_GB2312"/>
                <w:sz w:val="24"/>
                <w:lang w:val="en-US" w:eastAsia="zh-CN"/>
              </w:rPr>
              <w:t xml:space="preserve">  </w:t>
            </w:r>
            <w:r>
              <w:rPr>
                <w:rFonts w:hint="eastAsia" w:ascii="仿宋_GB2312" w:eastAsia="仿宋_GB2312"/>
                <w:sz w:val="24"/>
                <w:lang w:eastAsia="zh-CN"/>
              </w:rPr>
              <w:t>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李旭红</w:t>
            </w:r>
          </w:p>
        </w:tc>
        <w:tc>
          <w:tcPr>
            <w:tcW w:w="1976"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w:t>
            </w:r>
            <w:r>
              <w:rPr>
                <w:rFonts w:hint="eastAsia" w:ascii="仿宋_GB2312" w:eastAsia="仿宋_GB2312" w:cs="仿宋_GB2312"/>
                <w:sz w:val="24"/>
                <w:szCs w:val="24"/>
                <w:lang w:val="en-US" w:eastAsia="zh-CN"/>
              </w:rPr>
              <w:t>2.4</w:t>
            </w:r>
          </w:p>
        </w:tc>
        <w:tc>
          <w:tcPr>
            <w:tcW w:w="3424"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w:t>
            </w:r>
            <w:r>
              <w:rPr>
                <w:rFonts w:hint="eastAsia" w:ascii="仿宋_GB2312" w:hAnsi="宋体" w:eastAsia="仿宋_GB2312"/>
                <w:color w:val="000000" w:themeColor="text1"/>
                <w:szCs w:val="21"/>
                <w14:textFill>
                  <w14:solidFill>
                    <w14:schemeClr w14:val="tx1"/>
                  </w14:solidFill>
                </w14:textFill>
              </w:rPr>
              <w:t>企业</w:t>
            </w:r>
            <w:r>
              <w:rPr>
                <w:rFonts w:hint="eastAsia" w:ascii="仿宋_GB2312" w:hAnsi="宋体" w:eastAsia="仿宋_GB2312"/>
                <w:color w:val="000000" w:themeColor="text1"/>
                <w:szCs w:val="21"/>
                <w:lang w:eastAsia="zh-CN"/>
                <w14:textFill>
                  <w14:solidFill>
                    <w14:schemeClr w14:val="tx1"/>
                  </w14:solidFill>
                </w14:textFill>
              </w:rPr>
              <w:t>现场</w:t>
            </w:r>
            <w:r>
              <w:rPr>
                <w:rFonts w:hint="eastAsia" w:ascii="仿宋_GB2312" w:hAnsi="宋体" w:eastAsia="仿宋_GB2312"/>
                <w:color w:val="000000" w:themeColor="text1"/>
                <w:szCs w:val="21"/>
                <w14:textFill>
                  <w14:solidFill>
                    <w14:schemeClr w14:val="tx1"/>
                  </w14:solidFill>
                </w14:textFill>
              </w:rPr>
              <w:t>不能提供从事产品生产人员的学历证书、职业资格证书及培训考核评价等资料</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厂房未配备防止动物进入的设施</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活动义齿加工蜡型区缺少排风设施</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文件更新未经过评审；受控文件《不良事件监测制度》引用作废法规，未能进行及时更新修订</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4、</w:t>
            </w:r>
            <w:r>
              <w:rPr>
                <w:rFonts w:hint="eastAsia" w:ascii="仿宋_GB2312" w:hAnsi="宋体" w:eastAsia="仿宋_GB2312"/>
                <w:color w:val="000000" w:themeColor="text1"/>
                <w:szCs w:val="21"/>
                <w14:textFill>
                  <w14:solidFill>
                    <w14:schemeClr w14:val="tx1"/>
                  </w14:solidFill>
                </w14:textFill>
              </w:rPr>
              <w:t>模型工件盒作业指导书规定为紫外线消毒，实际为清水冲洗，文件规定与实际不一致</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2019年的废料无回收处理记录，未对产品生产后废料制定处理规定</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6、</w:t>
            </w:r>
            <w:r>
              <w:rPr>
                <w:rFonts w:hint="eastAsia" w:ascii="仿宋_GB2312" w:hAnsi="宋体" w:eastAsia="仿宋_GB2312"/>
                <w:color w:val="000000" w:themeColor="text1"/>
                <w:szCs w:val="21"/>
                <w14:textFill>
                  <w14:solidFill>
                    <w14:schemeClr w14:val="tx1"/>
                  </w14:solidFill>
                </w14:textFill>
              </w:rPr>
              <w:t>产品防护程序中未对产品的防护做出具体要求，不具有可操作性</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7、</w:t>
            </w:r>
            <w:r>
              <w:rPr>
                <w:rFonts w:hint="eastAsia" w:ascii="仿宋_GB2312" w:hAnsi="宋体" w:eastAsia="仿宋_GB2312"/>
                <w:color w:val="000000" w:themeColor="text1"/>
                <w:szCs w:val="21"/>
                <w14:textFill>
                  <w14:solidFill>
                    <w14:schemeClr w14:val="tx1"/>
                  </w14:solidFill>
                </w14:textFill>
              </w:rPr>
              <w:t>质量控制程序建立不完整，未对产品检验部门职责、人员资质等作出规定</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8、</w:t>
            </w:r>
            <w:r>
              <w:rPr>
                <w:rFonts w:hint="eastAsia" w:ascii="仿宋_GB2312" w:hAnsi="宋体" w:eastAsia="仿宋_GB2312"/>
                <w:color w:val="000000" w:themeColor="text1"/>
                <w:szCs w:val="21"/>
                <w14:textFill>
                  <w14:solidFill>
                    <w14:schemeClr w14:val="tx1"/>
                  </w14:solidFill>
                </w14:textFill>
              </w:rPr>
              <w:t>现场不能提供售后服务制度</w:t>
            </w:r>
            <w:r>
              <w:rPr>
                <w:rFonts w:hint="eastAsia" w:ascii="仿宋_GB2312" w:hAnsi="宋体" w:eastAsia="仿宋_GB2312"/>
                <w:color w:val="000000" w:themeColor="text1"/>
                <w:szCs w:val="21"/>
                <w:lang w:eastAsia="zh-CN"/>
                <w14:textFill>
                  <w14:solidFill>
                    <w14:schemeClr w14:val="tx1"/>
                  </w14:solidFill>
                </w14:textFill>
              </w:rPr>
              <w:t>；</w:t>
            </w:r>
            <w:r>
              <w:rPr>
                <w:rFonts w:hint="eastAsia" w:ascii="仿宋_GB2312" w:hAnsi="宋体" w:eastAsia="仿宋_GB2312"/>
                <w:color w:val="000000" w:themeColor="text1"/>
                <w:szCs w:val="21"/>
                <w:lang w:val="en-US" w:eastAsia="zh-CN"/>
                <w14:textFill>
                  <w14:solidFill>
                    <w14:schemeClr w14:val="tx1"/>
                  </w14:solidFill>
                </w14:textFill>
              </w:rPr>
              <w:t>9、</w:t>
            </w:r>
            <w:r>
              <w:rPr>
                <w:rFonts w:hint="eastAsia" w:ascii="仿宋_GB2312" w:hAnsi="宋体" w:eastAsia="仿宋_GB2312"/>
                <w:color w:val="000000" w:themeColor="text1"/>
                <w:szCs w:val="21"/>
                <w14:textFill>
                  <w14:solidFill>
                    <w14:schemeClr w14:val="tx1"/>
                  </w14:solidFill>
                </w14:textFill>
              </w:rPr>
              <w:t>企业没有按照建立的质量管理体系内部审核程序开展内审</w:t>
            </w:r>
            <w:r>
              <w:rPr>
                <w:rFonts w:hint="eastAsia" w:ascii="仿宋_GB2312" w:hAnsi="宋体" w:eastAsia="仿宋_GB2312"/>
                <w:color w:val="000000" w:themeColor="text1"/>
                <w:szCs w:val="21"/>
                <w:lang w:eastAsia="zh-CN"/>
                <w14:textFill>
                  <w14:solidFill>
                    <w14:schemeClr w14:val="tx1"/>
                  </w14:solidFill>
                </w14:textFill>
              </w:rPr>
              <w:t>。</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限期整改</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9</w:t>
            </w:r>
          </w:p>
        </w:tc>
        <w:tc>
          <w:tcPr>
            <w:tcW w:w="2415"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24"/>
              </w:rPr>
            </w:pPr>
            <w:r>
              <w:rPr>
                <w:rFonts w:hint="eastAsia" w:ascii="仿宋_GB2312" w:eastAsia="仿宋_GB2312" w:cs="Times New Roman"/>
                <w:sz w:val="24"/>
                <w:szCs w:val="24"/>
              </w:rPr>
              <w:t>银川东兴义齿有限公司</w:t>
            </w:r>
          </w:p>
        </w:tc>
        <w:tc>
          <w:tcPr>
            <w:tcW w:w="865"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飞行检查</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跟踪检查</w:t>
            </w:r>
          </w:p>
        </w:tc>
        <w:tc>
          <w:tcPr>
            <w:tcW w:w="1132"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冯</w:t>
            </w:r>
            <w:r>
              <w:rPr>
                <w:rFonts w:hint="eastAsia" w:ascii="仿宋_GB2312" w:eastAsia="仿宋_GB2312"/>
                <w:sz w:val="24"/>
                <w:lang w:val="en-US" w:eastAsia="zh-CN"/>
              </w:rPr>
              <w:t xml:space="preserve">  </w:t>
            </w:r>
            <w:r>
              <w:rPr>
                <w:rFonts w:hint="eastAsia" w:ascii="仿宋_GB2312" w:eastAsia="仿宋_GB2312"/>
                <w:sz w:val="24"/>
                <w:lang w:eastAsia="zh-CN"/>
              </w:rPr>
              <w:t>琳</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王</w:t>
            </w:r>
            <w:r>
              <w:rPr>
                <w:rFonts w:hint="eastAsia" w:ascii="仿宋_GB2312" w:eastAsia="仿宋_GB2312"/>
                <w:sz w:val="24"/>
                <w:lang w:val="en-US" w:eastAsia="zh-CN"/>
              </w:rPr>
              <w:t xml:space="preserve">  </w:t>
            </w:r>
            <w:r>
              <w:rPr>
                <w:rFonts w:hint="eastAsia" w:ascii="仿宋_GB2312" w:eastAsia="仿宋_GB2312"/>
                <w:sz w:val="24"/>
                <w:lang w:eastAsia="zh-CN"/>
              </w:rPr>
              <w:t>凯</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李旭红</w:t>
            </w:r>
          </w:p>
        </w:tc>
        <w:tc>
          <w:tcPr>
            <w:tcW w:w="1976"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rPr>
            </w:pPr>
            <w:r>
              <w:rPr>
                <w:rFonts w:ascii="仿宋_GB2312" w:eastAsia="仿宋_GB2312" w:cs="仿宋_GB2312"/>
                <w:sz w:val="24"/>
                <w:szCs w:val="24"/>
              </w:rPr>
              <w:t>201</w:t>
            </w:r>
            <w:r>
              <w:rPr>
                <w:rFonts w:hint="eastAsia" w:ascii="仿宋_GB2312" w:eastAsia="仿宋_GB2312" w:cs="仿宋_GB2312"/>
                <w:sz w:val="24"/>
                <w:szCs w:val="24"/>
              </w:rPr>
              <w:t>9</w:t>
            </w:r>
            <w:r>
              <w:rPr>
                <w:rFonts w:hint="eastAsia" w:ascii="仿宋_GB2312" w:eastAsia="仿宋_GB2312" w:cs="仿宋_GB2312"/>
                <w:sz w:val="24"/>
                <w:szCs w:val="24"/>
                <w:lang w:val="en-US" w:eastAsia="zh-CN"/>
              </w:rPr>
              <w:t>.</w:t>
            </w:r>
            <w:r>
              <w:rPr>
                <w:rFonts w:hint="eastAsia" w:ascii="仿宋_GB2312" w:eastAsia="仿宋_GB2312" w:cs="仿宋_GB2312"/>
                <w:sz w:val="24"/>
                <w:szCs w:val="24"/>
              </w:rPr>
              <w:t>1</w:t>
            </w:r>
            <w:r>
              <w:rPr>
                <w:rFonts w:hint="eastAsia" w:ascii="仿宋_GB2312" w:eastAsia="仿宋_GB2312" w:cs="仿宋_GB2312"/>
                <w:sz w:val="24"/>
                <w:szCs w:val="24"/>
                <w:lang w:val="en-US" w:eastAsia="zh-CN"/>
              </w:rPr>
              <w:t>2.5</w:t>
            </w:r>
          </w:p>
        </w:tc>
        <w:tc>
          <w:tcPr>
            <w:tcW w:w="3424"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w:t>
            </w:r>
            <w:r>
              <w:rPr>
                <w:rFonts w:hint="eastAsia" w:ascii="仿宋_GB2312" w:hAnsi="宋体" w:eastAsia="仿宋_GB2312" w:cs="仿宋_GB2312"/>
                <w:lang w:val="en-US" w:eastAsia="zh-CN"/>
              </w:rPr>
              <w:t>生产部、技术部和质量部职能交叉，未明确技术具体负责部门；2、现场查看返工评审记录有涂改后未签名和标注日期现象；3、未保留新增供应商的评价过程记录。</w:t>
            </w:r>
          </w:p>
        </w:tc>
        <w:tc>
          <w:tcPr>
            <w:tcW w:w="1880" w:type="dxa"/>
            <w:textDirection w:val="lrTb"/>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rPr>
            </w:pPr>
            <w:r>
              <w:rPr>
                <w:rFonts w:hint="eastAsia" w:ascii="仿宋_GB2312" w:eastAsia="仿宋_GB2312"/>
                <w:sz w:val="24"/>
                <w:lang w:eastAsia="zh-CN"/>
              </w:rPr>
              <w:t>限期整改</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hint="eastAsia" w:ascii="仿宋_GB2312" w:eastAsia="仿宋_GB2312"/>
                <w:sz w:val="24"/>
              </w:rPr>
            </w:pP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B787C"/>
    <w:rsid w:val="011F63DB"/>
    <w:rsid w:val="03076F7C"/>
    <w:rsid w:val="0EF06ABD"/>
    <w:rsid w:val="2A1E450D"/>
    <w:rsid w:val="34540A05"/>
    <w:rsid w:val="3C3E0240"/>
    <w:rsid w:val="419B787C"/>
    <w:rsid w:val="42EC40AB"/>
    <w:rsid w:val="4EB078AC"/>
    <w:rsid w:val="69882662"/>
    <w:rsid w:val="71002060"/>
    <w:rsid w:val="79AC3EF5"/>
    <w:rsid w:val="7F340C2F"/>
    <w:rsid w:val="7FC242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2019-12-10T08:19:00Z</dcterms:created>
  <dc:creator>冯琳</dc:creator>
  <cp:lastModifiedBy>王祺</cp:lastModifiedBy>
  <cp:lastPrinted>2019-12-10T10:18:00Z</cp:lastPrinted>
  <dcterms:modified xsi:type="dcterms:W3CDTF">2019-12-11T03:10:08Z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