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beforeLines="0" w:afterLines="0"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numPr>
          <w:ilvl w:val="0"/>
          <w:numId w:val="0"/>
        </w:numPr>
        <w:spacing w:beforeLines="0" w:afterLines="0" w:line="600" w:lineRule="exact"/>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建议（提案）办理分配表</w:t>
      </w:r>
    </w:p>
    <w:tbl>
      <w:tblPr>
        <w:tblStyle w:val="4"/>
        <w:tblW w:w="11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3706"/>
        <w:gridCol w:w="1076"/>
        <w:gridCol w:w="1906"/>
        <w:gridCol w:w="1281"/>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pPr>
              <w:numPr>
                <w:ilvl w:val="0"/>
                <w:numId w:val="0"/>
              </w:numPr>
              <w:spacing w:beforeLines="0" w:afterLines="0" w:line="60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3706" w:type="dxa"/>
            <w:vAlign w:val="center"/>
          </w:tcPr>
          <w:p>
            <w:pPr>
              <w:numPr>
                <w:ilvl w:val="0"/>
                <w:numId w:val="0"/>
              </w:numPr>
              <w:spacing w:beforeLines="0" w:afterLines="0" w:line="60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建议（提案名称）</w:t>
            </w:r>
          </w:p>
        </w:tc>
        <w:tc>
          <w:tcPr>
            <w:tcW w:w="1076" w:type="dxa"/>
            <w:vAlign w:val="center"/>
          </w:tcPr>
          <w:p>
            <w:pPr>
              <w:numPr>
                <w:ilvl w:val="0"/>
                <w:numId w:val="0"/>
              </w:numPr>
              <w:spacing w:beforeLines="0" w:afterLines="0" w:line="60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提案人</w:t>
            </w:r>
          </w:p>
        </w:tc>
        <w:tc>
          <w:tcPr>
            <w:tcW w:w="1906" w:type="dxa"/>
            <w:vAlign w:val="center"/>
          </w:tcPr>
          <w:p>
            <w:pPr>
              <w:numPr>
                <w:ilvl w:val="0"/>
                <w:numId w:val="0"/>
              </w:numPr>
              <w:spacing w:beforeLines="0" w:afterLines="0" w:line="60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主办单位</w:t>
            </w:r>
          </w:p>
        </w:tc>
        <w:tc>
          <w:tcPr>
            <w:tcW w:w="1281" w:type="dxa"/>
            <w:vAlign w:val="center"/>
          </w:tcPr>
          <w:p>
            <w:pPr>
              <w:numPr>
                <w:ilvl w:val="0"/>
                <w:numId w:val="0"/>
              </w:numPr>
              <w:spacing w:beforeLines="0" w:afterLines="0" w:line="60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办理性质</w:t>
            </w:r>
          </w:p>
        </w:tc>
        <w:tc>
          <w:tcPr>
            <w:tcW w:w="2470" w:type="dxa"/>
            <w:vAlign w:val="center"/>
          </w:tcPr>
          <w:p>
            <w:pPr>
              <w:numPr>
                <w:ilvl w:val="0"/>
                <w:numId w:val="0"/>
              </w:numPr>
              <w:spacing w:beforeLines="0" w:afterLines="0" w:line="60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办理处室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3706"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第045号建议：《关于成立全区中医药健康产业园的建议》</w:t>
            </w:r>
          </w:p>
        </w:tc>
        <w:tc>
          <w:tcPr>
            <w:tcW w:w="1076"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李培润</w:t>
            </w:r>
          </w:p>
        </w:tc>
        <w:tc>
          <w:tcPr>
            <w:tcW w:w="1906"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卫生健康委员会</w:t>
            </w:r>
          </w:p>
        </w:tc>
        <w:tc>
          <w:tcPr>
            <w:tcW w:w="1281"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协办</w:t>
            </w:r>
          </w:p>
        </w:tc>
        <w:tc>
          <w:tcPr>
            <w:tcW w:w="2470"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政策法规处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3706"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第056号提案：《关于加快研发我区公立中医医院院内制剂的提案》</w:t>
            </w:r>
          </w:p>
        </w:tc>
        <w:tc>
          <w:tcPr>
            <w:tcW w:w="1076"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马科</w:t>
            </w:r>
          </w:p>
        </w:tc>
        <w:tc>
          <w:tcPr>
            <w:tcW w:w="1906"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卫生健康委员会</w:t>
            </w:r>
          </w:p>
        </w:tc>
        <w:tc>
          <w:tcPr>
            <w:tcW w:w="1281"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协办</w:t>
            </w:r>
          </w:p>
        </w:tc>
        <w:tc>
          <w:tcPr>
            <w:tcW w:w="2470"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政策法规处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3706"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第297号提案：《关于以医院慢性病处方外流为突破口，将“互联网+医疗健康”引向深入的提案》</w:t>
            </w:r>
          </w:p>
        </w:tc>
        <w:tc>
          <w:tcPr>
            <w:tcW w:w="1076"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段军章</w:t>
            </w:r>
          </w:p>
        </w:tc>
        <w:tc>
          <w:tcPr>
            <w:tcW w:w="1906"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卫生健康委员会</w:t>
            </w:r>
          </w:p>
        </w:tc>
        <w:tc>
          <w:tcPr>
            <w:tcW w:w="1281"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协办</w:t>
            </w:r>
          </w:p>
        </w:tc>
        <w:tc>
          <w:tcPr>
            <w:tcW w:w="2470"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药品流通监管处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3706"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第333号提案：《关于建设全区中医药健康产业园的提案》</w:t>
            </w:r>
          </w:p>
        </w:tc>
        <w:tc>
          <w:tcPr>
            <w:tcW w:w="1076"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童安荣</w:t>
            </w:r>
          </w:p>
        </w:tc>
        <w:tc>
          <w:tcPr>
            <w:tcW w:w="1906"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卫生健康委员会</w:t>
            </w:r>
          </w:p>
        </w:tc>
        <w:tc>
          <w:tcPr>
            <w:tcW w:w="1281"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协办</w:t>
            </w:r>
          </w:p>
        </w:tc>
        <w:tc>
          <w:tcPr>
            <w:tcW w:w="2470"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政策法规处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pPr>
              <w:numPr>
                <w:ilvl w:val="0"/>
                <w:numId w:val="0"/>
              </w:numPr>
              <w:spacing w:beforeLines="0" w:afterLines="0" w:line="600" w:lineRule="exact"/>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3706"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第077号提案：关于加强消字号药膏和化妆品中激素成分监管的提案</w:t>
            </w:r>
          </w:p>
        </w:tc>
        <w:tc>
          <w:tcPr>
            <w:tcW w:w="1076"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农工党宁夏区委会</w:t>
            </w:r>
          </w:p>
        </w:tc>
        <w:tc>
          <w:tcPr>
            <w:tcW w:w="1906"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药监局</w:t>
            </w:r>
          </w:p>
        </w:tc>
        <w:tc>
          <w:tcPr>
            <w:tcW w:w="1281"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主办</w:t>
            </w:r>
          </w:p>
        </w:tc>
        <w:tc>
          <w:tcPr>
            <w:tcW w:w="2470"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化妆品监管处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32" w:type="dxa"/>
            <w:vAlign w:val="center"/>
          </w:tcPr>
          <w:p>
            <w:pPr>
              <w:numPr>
                <w:ilvl w:val="0"/>
                <w:numId w:val="0"/>
              </w:numPr>
              <w:spacing w:beforeLines="0" w:afterLines="0" w:line="600" w:lineRule="exact"/>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3706"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第269号提案：关于加强对含兴奋剂药品经营监管的提案</w:t>
            </w:r>
          </w:p>
        </w:tc>
        <w:tc>
          <w:tcPr>
            <w:tcW w:w="1076"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马玉</w:t>
            </w:r>
          </w:p>
        </w:tc>
        <w:tc>
          <w:tcPr>
            <w:tcW w:w="1906"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药监局</w:t>
            </w:r>
          </w:p>
        </w:tc>
        <w:tc>
          <w:tcPr>
            <w:tcW w:w="1281"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eastAsia="zh-CN"/>
              </w:rPr>
              <w:t>主办</w:t>
            </w:r>
          </w:p>
        </w:tc>
        <w:tc>
          <w:tcPr>
            <w:tcW w:w="2470" w:type="dxa"/>
            <w:vAlign w:val="center"/>
          </w:tcPr>
          <w:p>
            <w:pPr>
              <w:numPr>
                <w:ilvl w:val="0"/>
                <w:numId w:val="0"/>
              </w:numPr>
              <w:spacing w:beforeLines="0" w:afterLines="0" w:line="6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药品注册与生产监管处（主办）；药品流通监管处（协办）</w:t>
            </w:r>
          </w:p>
        </w:tc>
      </w:tr>
    </w:tbl>
    <w:p>
      <w:pPr>
        <w:spacing w:beforeLines="0" w:afterLines="0" w:line="600" w:lineRule="exact"/>
        <w:jc w:val="both"/>
        <w:rPr>
          <w:rFonts w:hint="eastAsia" w:ascii="黑体" w:hAnsi="黑体" w:eastAsia="黑体" w:cs="黑体"/>
          <w:sz w:val="44"/>
          <w:szCs w:val="44"/>
        </w:rPr>
      </w:pPr>
      <w:r>
        <w:rPr>
          <w:rFonts w:hint="eastAsia" w:ascii="仿宋_GB2312" w:hAnsi="仿宋_GB2312" w:eastAsia="仿宋_GB2312" w:cs="仿宋_GB2312"/>
          <w:sz w:val="32"/>
          <w:szCs w:val="32"/>
          <w:lang w:val="en-US" w:eastAsia="zh-CN"/>
        </w:rPr>
        <w:t>注：字体加粗的为自治区重点建议和提案。</w:t>
      </w:r>
    </w:p>
    <w:p>
      <w:pPr>
        <w:spacing w:beforeLines="0" w:afterLines="0" w:line="600" w:lineRule="exact"/>
        <w:jc w:val="center"/>
        <w:rPr>
          <w:rFonts w:hint="eastAsia" w:ascii="黑体" w:hAnsi="黑体" w:eastAsia="黑体" w:cs="黑体"/>
          <w:sz w:val="44"/>
          <w:szCs w:val="44"/>
        </w:rPr>
      </w:pP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tbl>
      <w:tblPr>
        <w:tblStyle w:val="3"/>
        <w:tblW w:w="8934" w:type="dxa"/>
        <w:tblInd w:w="108" w:type="dxa"/>
        <w:tblBorders>
          <w:top w:val="single" w:color="FFFFFF" w:sz="4" w:space="0"/>
          <w:left w:val="single" w:color="FFFFFF" w:sz="4" w:space="0"/>
          <w:bottom w:val="single" w:color="FFFFFF" w:sz="4" w:space="0"/>
          <w:right w:val="single" w:color="FFFFFF" w:sz="4" w:space="0"/>
          <w:insideH w:val="outset" w:color="auto" w:sz="6" w:space="0"/>
          <w:insideV w:val="outset" w:color="auto" w:sz="6" w:space="0"/>
        </w:tblBorders>
        <w:tblLayout w:type="fixed"/>
        <w:tblCellMar>
          <w:top w:w="0" w:type="dxa"/>
          <w:left w:w="0" w:type="dxa"/>
          <w:bottom w:w="0" w:type="dxa"/>
          <w:right w:w="0" w:type="dxa"/>
        </w:tblCellMar>
      </w:tblPr>
      <w:tblGrid>
        <w:gridCol w:w="8934"/>
      </w:tblGrid>
      <w:tr>
        <w:tblPrEx>
          <w:tblBorders>
            <w:top w:val="single" w:color="FFFFFF" w:sz="4" w:space="0"/>
            <w:left w:val="single" w:color="FFFFFF" w:sz="4" w:space="0"/>
            <w:bottom w:val="single" w:color="FFFFFF" w:sz="4" w:space="0"/>
            <w:right w:val="single" w:color="FFFFFF" w:sz="4" w:space="0"/>
            <w:insideH w:val="outset" w:color="auto" w:sz="6" w:space="0"/>
            <w:insideV w:val="outset" w:color="auto" w:sz="6" w:space="0"/>
          </w:tblBorders>
          <w:tblCellMar>
            <w:top w:w="0" w:type="dxa"/>
            <w:left w:w="0" w:type="dxa"/>
            <w:bottom w:w="0" w:type="dxa"/>
            <w:right w:w="0" w:type="dxa"/>
          </w:tblCellMar>
        </w:tblPrEx>
        <w:tc>
          <w:tcPr>
            <w:tcW w:w="8934" w:type="dxa"/>
            <w:tcBorders>
              <w:top w:val="single" w:color="FFFFFF" w:sz="4" w:space="0"/>
              <w:left w:val="single" w:color="FFFFFF" w:sz="4" w:space="0"/>
              <w:bottom w:val="single" w:color="FFFFFF" w:sz="4" w:space="0"/>
              <w:right w:val="single" w:color="FFFFFF" w:sz="4" w:space="0"/>
            </w:tcBorders>
            <w:vAlign w:val="center"/>
          </w:tcPr>
          <w:p>
            <w:pPr>
              <w:keepNext w:val="0"/>
              <w:keepLines w:val="0"/>
              <w:widowControl/>
              <w:suppressLineNumbers w:val="0"/>
              <w:spacing w:beforeLines="0" w:afterLines="0" w:line="600" w:lineRule="exact"/>
              <w:jc w:val="center"/>
              <w:rPr>
                <w:rFonts w:hint="eastAsia" w:ascii="方正小标宋简体" w:hAnsi="方正小标宋简体" w:eastAsia="方正小标宋简体" w:cs="方正小标宋简体"/>
                <w:kern w:val="0"/>
                <w:sz w:val="34"/>
                <w:szCs w:val="34"/>
              </w:rPr>
            </w:pPr>
            <w:r>
              <w:rPr>
                <w:rFonts w:hint="eastAsia" w:ascii="方正小标宋简体" w:hAnsi="方正小标宋简体" w:eastAsia="方正小标宋简体" w:cs="方正小标宋简体"/>
                <w:kern w:val="0"/>
                <w:sz w:val="34"/>
                <w:szCs w:val="34"/>
              </w:rPr>
              <w:t>宁夏回族自治区政协</w:t>
            </w:r>
          </w:p>
        </w:tc>
      </w:tr>
      <w:tr>
        <w:tblPrEx>
          <w:tblBorders>
            <w:top w:val="single" w:color="FFFFFF" w:sz="4" w:space="0"/>
            <w:left w:val="single" w:color="FFFFFF" w:sz="4" w:space="0"/>
            <w:bottom w:val="single" w:color="FFFFFF" w:sz="4" w:space="0"/>
            <w:right w:val="single" w:color="FFFFFF" w:sz="4" w:space="0"/>
            <w:insideH w:val="outset" w:color="auto" w:sz="6" w:space="0"/>
            <w:insideV w:val="outset" w:color="auto" w:sz="6" w:space="0"/>
          </w:tblBorders>
          <w:tblCellMar>
            <w:top w:w="0" w:type="dxa"/>
            <w:left w:w="0" w:type="dxa"/>
            <w:bottom w:w="0" w:type="dxa"/>
            <w:right w:w="0" w:type="dxa"/>
          </w:tblCellMar>
        </w:tblPrEx>
        <w:tc>
          <w:tcPr>
            <w:tcW w:w="8934" w:type="dxa"/>
            <w:tcBorders>
              <w:top w:val="single" w:color="FFFFFF" w:sz="4" w:space="0"/>
              <w:left w:val="single" w:color="FFFFFF" w:sz="4" w:space="0"/>
              <w:bottom w:val="single" w:color="FFFFFF" w:sz="4" w:space="0"/>
              <w:right w:val="single" w:color="FFFFFF" w:sz="4" w:space="0"/>
            </w:tcBorders>
            <w:vAlign w:val="center"/>
          </w:tcPr>
          <w:p>
            <w:pPr>
              <w:keepNext w:val="0"/>
              <w:keepLines w:val="0"/>
              <w:widowControl/>
              <w:suppressLineNumbers w:val="0"/>
              <w:spacing w:beforeLines="0" w:afterLines="0" w:line="600" w:lineRule="exact"/>
              <w:jc w:val="center"/>
              <w:rPr>
                <w:rFonts w:hint="eastAsia" w:ascii="方正小标宋简体" w:hAnsi="方正小标宋简体" w:eastAsia="方正小标宋简体" w:cs="方正小标宋简体"/>
                <w:kern w:val="0"/>
                <w:sz w:val="34"/>
                <w:szCs w:val="34"/>
              </w:rPr>
            </w:pPr>
            <w:r>
              <w:rPr>
                <w:rFonts w:hint="eastAsia" w:ascii="方正小标宋简体" w:hAnsi="方正小标宋简体" w:eastAsia="方正小标宋简体" w:cs="方正小标宋简体"/>
                <w:kern w:val="0"/>
                <w:sz w:val="34"/>
                <w:szCs w:val="34"/>
              </w:rPr>
              <w:t>十一届三次会议第056号提案</w:t>
            </w:r>
          </w:p>
        </w:tc>
      </w:tr>
      <w:tr>
        <w:tblPrEx>
          <w:tblBorders>
            <w:top w:val="single" w:color="FFFFFF" w:sz="4" w:space="0"/>
            <w:left w:val="single" w:color="FFFFFF" w:sz="4" w:space="0"/>
            <w:bottom w:val="single" w:color="FFFFFF" w:sz="4" w:space="0"/>
            <w:right w:val="single" w:color="FFFFFF" w:sz="4" w:space="0"/>
            <w:insideH w:val="outset" w:color="auto" w:sz="6" w:space="0"/>
            <w:insideV w:val="outset" w:color="auto" w:sz="6" w:space="0"/>
          </w:tblBorders>
          <w:tblCellMar>
            <w:top w:w="0" w:type="dxa"/>
            <w:left w:w="0" w:type="dxa"/>
            <w:bottom w:w="0" w:type="dxa"/>
            <w:right w:w="0" w:type="dxa"/>
          </w:tblCellMar>
        </w:tblPrEx>
        <w:tc>
          <w:tcPr>
            <w:tcW w:w="8934" w:type="dxa"/>
            <w:tcBorders>
              <w:top w:val="single" w:color="FFFFFF" w:sz="4" w:space="0"/>
              <w:left w:val="single" w:color="FFFFFF" w:sz="4" w:space="0"/>
              <w:bottom w:val="single" w:color="FFFFFF" w:sz="4" w:space="0"/>
              <w:right w:val="single" w:color="FFFFFF" w:sz="4" w:space="0"/>
            </w:tcBorders>
            <w:vAlign w:val="center"/>
          </w:tcPr>
          <w:tbl>
            <w:tblPr>
              <w:tblStyle w:val="3"/>
              <w:tblpPr w:leftFromText="180" w:rightFromText="180" w:vertAnchor="text" w:horzAnchor="page" w:tblpX="-13" w:tblpY="627"/>
              <w:tblOverlap w:val="never"/>
              <w:tblW w:w="9143" w:type="dxa"/>
              <w:tblInd w:w="0" w:type="dxa"/>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Layout w:type="fixed"/>
              <w:tblCellMar>
                <w:top w:w="0" w:type="dxa"/>
                <w:left w:w="0" w:type="dxa"/>
                <w:bottom w:w="0" w:type="dxa"/>
                <w:right w:w="0" w:type="dxa"/>
              </w:tblCellMar>
            </w:tblPr>
            <w:tblGrid>
              <w:gridCol w:w="1562"/>
              <w:gridCol w:w="1551"/>
              <w:gridCol w:w="1551"/>
              <w:gridCol w:w="4479"/>
            </w:tblGrid>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rHeight w:val="646" w:hRule="exact"/>
              </w:trPr>
              <w:tc>
                <w:tcPr>
                  <w:tcW w:w="1562"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hint="eastAsia" w:ascii="宋体" w:hAnsi="宋体" w:eastAsia="宋体" w:cs="宋体"/>
                      <w:kern w:val="0"/>
                      <w:sz w:val="25"/>
                      <w:szCs w:val="25"/>
                    </w:rPr>
                  </w:pPr>
                  <w:r>
                    <w:rPr>
                      <w:rFonts w:hint="eastAsia" w:ascii="宋体" w:hAnsi="宋体" w:eastAsia="宋体" w:cs="宋体"/>
                      <w:kern w:val="0"/>
                      <w:sz w:val="25"/>
                      <w:szCs w:val="25"/>
                    </w:rPr>
                    <w:t>提案类型</w:t>
                  </w:r>
                </w:p>
              </w:tc>
              <w:tc>
                <w:tcPr>
                  <w:tcW w:w="7581" w:type="dxa"/>
                  <w:gridSpan w:val="3"/>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hint="eastAsia" w:ascii="宋体" w:hAnsi="宋体" w:eastAsia="宋体" w:cs="宋体"/>
                      <w:kern w:val="0"/>
                      <w:sz w:val="25"/>
                      <w:szCs w:val="25"/>
                    </w:rPr>
                  </w:pPr>
                  <w:r>
                    <w:rPr>
                      <w:rFonts w:hint="eastAsia" w:ascii="宋体" w:hAnsi="宋体" w:eastAsia="宋体" w:cs="宋体"/>
                      <w:kern w:val="0"/>
                      <w:sz w:val="25"/>
                      <w:szCs w:val="25"/>
                    </w:rPr>
                    <w:t>个人提案</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rHeight w:val="646" w:hRule="exact"/>
              </w:trPr>
              <w:tc>
                <w:tcPr>
                  <w:tcW w:w="1562"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hint="eastAsia" w:ascii="宋体" w:hAnsi="宋体" w:eastAsia="宋体" w:cs="宋体"/>
                      <w:kern w:val="0"/>
                      <w:sz w:val="25"/>
                      <w:szCs w:val="25"/>
                    </w:rPr>
                  </w:pPr>
                  <w:r>
                    <w:rPr>
                      <w:rFonts w:hint="eastAsia" w:ascii="宋体" w:hAnsi="宋体" w:eastAsia="宋体" w:cs="宋体"/>
                      <w:kern w:val="0"/>
                      <w:sz w:val="25"/>
                      <w:szCs w:val="25"/>
                    </w:rPr>
                    <w:t>案 由</w:t>
                  </w:r>
                </w:p>
              </w:tc>
              <w:tc>
                <w:tcPr>
                  <w:tcW w:w="7581" w:type="dxa"/>
                  <w:gridSpan w:val="3"/>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hint="eastAsia" w:ascii="宋体" w:hAnsi="宋体" w:eastAsia="宋体" w:cs="宋体"/>
                      <w:kern w:val="0"/>
                      <w:sz w:val="25"/>
                      <w:szCs w:val="25"/>
                    </w:rPr>
                  </w:pPr>
                  <w:r>
                    <w:rPr>
                      <w:rFonts w:hint="eastAsia" w:ascii="宋体" w:hAnsi="宋体" w:eastAsia="宋体" w:cs="宋体"/>
                      <w:kern w:val="0"/>
                      <w:sz w:val="25"/>
                      <w:szCs w:val="25"/>
                    </w:rPr>
                    <w:t>关于加快研发我区公立中医医院院内制剂的提案</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rHeight w:val="646" w:hRule="exact"/>
              </w:trPr>
              <w:tc>
                <w:tcPr>
                  <w:tcW w:w="1562"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hint="eastAsia" w:ascii="宋体" w:hAnsi="宋体" w:eastAsia="宋体" w:cs="宋体"/>
                      <w:kern w:val="0"/>
                      <w:sz w:val="25"/>
                      <w:szCs w:val="25"/>
                    </w:rPr>
                  </w:pPr>
                  <w:r>
                    <w:rPr>
                      <w:rFonts w:hint="eastAsia" w:ascii="宋体" w:hAnsi="宋体" w:eastAsia="宋体" w:cs="宋体"/>
                      <w:kern w:val="0"/>
                      <w:sz w:val="25"/>
                      <w:szCs w:val="25"/>
                    </w:rPr>
                    <w:t>第一提案人</w:t>
                  </w:r>
                </w:p>
              </w:tc>
              <w:tc>
                <w:tcPr>
                  <w:tcW w:w="1551"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hint="eastAsia" w:ascii="宋体" w:hAnsi="宋体" w:eastAsia="宋体" w:cs="宋体"/>
                      <w:kern w:val="0"/>
                      <w:sz w:val="25"/>
                      <w:szCs w:val="25"/>
                    </w:rPr>
                  </w:pPr>
                  <w:r>
                    <w:rPr>
                      <w:rFonts w:hint="eastAsia" w:ascii="宋体" w:hAnsi="宋体" w:eastAsia="宋体" w:cs="宋体"/>
                      <w:kern w:val="0"/>
                      <w:sz w:val="25"/>
                      <w:szCs w:val="25"/>
                    </w:rPr>
                    <w:t>马科</w:t>
                  </w:r>
                </w:p>
              </w:tc>
              <w:tc>
                <w:tcPr>
                  <w:tcW w:w="1551"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hint="eastAsia" w:ascii="宋体" w:hAnsi="宋体" w:eastAsia="宋体" w:cs="宋体"/>
                      <w:kern w:val="0"/>
                      <w:sz w:val="25"/>
                      <w:szCs w:val="25"/>
                    </w:rPr>
                  </w:pPr>
                  <w:r>
                    <w:rPr>
                      <w:rFonts w:hint="eastAsia" w:ascii="宋体" w:hAnsi="宋体" w:eastAsia="宋体" w:cs="宋体"/>
                      <w:kern w:val="0"/>
                      <w:sz w:val="25"/>
                      <w:szCs w:val="25"/>
                    </w:rPr>
                    <w:t>联系电话</w:t>
                  </w:r>
                </w:p>
              </w:tc>
              <w:tc>
                <w:tcPr>
                  <w:tcW w:w="4479"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hint="eastAsia" w:ascii="宋体" w:hAnsi="宋体" w:eastAsia="宋体" w:cs="宋体"/>
                      <w:kern w:val="0"/>
                      <w:sz w:val="25"/>
                      <w:szCs w:val="25"/>
                    </w:rPr>
                  </w:pPr>
                  <w:r>
                    <w:rPr>
                      <w:rFonts w:hint="eastAsia" w:ascii="宋体" w:hAnsi="宋体" w:eastAsia="宋体" w:cs="宋体"/>
                      <w:kern w:val="0"/>
                      <w:sz w:val="25"/>
                      <w:szCs w:val="25"/>
                    </w:rPr>
                    <w:t>15009610066</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rHeight w:val="646" w:hRule="exact"/>
              </w:trPr>
              <w:tc>
                <w:tcPr>
                  <w:tcW w:w="1562"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hint="eastAsia" w:ascii="宋体" w:hAnsi="宋体" w:eastAsia="宋体" w:cs="宋体"/>
                      <w:kern w:val="0"/>
                      <w:sz w:val="25"/>
                      <w:szCs w:val="25"/>
                    </w:rPr>
                  </w:pPr>
                  <w:r>
                    <w:rPr>
                      <w:rFonts w:hint="eastAsia" w:ascii="宋体" w:hAnsi="宋体" w:eastAsia="宋体" w:cs="宋体"/>
                      <w:kern w:val="0"/>
                      <w:sz w:val="25"/>
                      <w:szCs w:val="25"/>
                    </w:rPr>
                    <w:t>提案日期</w:t>
                  </w:r>
                </w:p>
              </w:tc>
              <w:tc>
                <w:tcPr>
                  <w:tcW w:w="7581" w:type="dxa"/>
                  <w:gridSpan w:val="3"/>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hint="eastAsia" w:ascii="宋体" w:hAnsi="宋体" w:eastAsia="宋体" w:cs="宋体"/>
                      <w:kern w:val="0"/>
                      <w:sz w:val="25"/>
                      <w:szCs w:val="25"/>
                    </w:rPr>
                  </w:pPr>
                  <w:r>
                    <w:rPr>
                      <w:rFonts w:hint="eastAsia" w:ascii="宋体" w:hAnsi="宋体" w:eastAsia="宋体" w:cs="宋体"/>
                      <w:kern w:val="0"/>
                      <w:sz w:val="25"/>
                      <w:szCs w:val="25"/>
                    </w:rPr>
                    <w:t>2020-01-03</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rHeight w:val="646" w:hRule="exact"/>
              </w:trPr>
              <w:tc>
                <w:tcPr>
                  <w:tcW w:w="1562"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hint="eastAsia" w:ascii="宋体" w:hAnsi="宋体" w:eastAsia="宋体" w:cs="宋体"/>
                      <w:kern w:val="0"/>
                      <w:sz w:val="25"/>
                      <w:szCs w:val="25"/>
                    </w:rPr>
                  </w:pPr>
                  <w:r>
                    <w:rPr>
                      <w:rFonts w:hint="eastAsia" w:ascii="宋体" w:hAnsi="宋体" w:eastAsia="宋体" w:cs="宋体"/>
                      <w:kern w:val="0"/>
                      <w:sz w:val="25"/>
                      <w:szCs w:val="25"/>
                    </w:rPr>
                    <w:t>希望承办单</w:t>
                  </w:r>
                  <w:r>
                    <w:rPr>
                      <w:rFonts w:hint="eastAsia" w:ascii="宋体" w:hAnsi="宋体" w:eastAsia="宋体" w:cs="宋体"/>
                      <w:kern w:val="0"/>
                      <w:sz w:val="25"/>
                      <w:szCs w:val="25"/>
                    </w:rPr>
                    <w:br w:type="textWrapping"/>
                  </w:r>
                  <w:r>
                    <w:rPr>
                      <w:rFonts w:hint="eastAsia" w:ascii="宋体" w:hAnsi="宋体" w:eastAsia="宋体" w:cs="宋体"/>
                      <w:kern w:val="0"/>
                      <w:sz w:val="25"/>
                      <w:szCs w:val="25"/>
                    </w:rPr>
                    <w:t>位(参考)</w:t>
                  </w:r>
                </w:p>
              </w:tc>
              <w:tc>
                <w:tcPr>
                  <w:tcW w:w="7581" w:type="dxa"/>
                  <w:gridSpan w:val="3"/>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hint="eastAsia" w:ascii="宋体" w:hAnsi="宋体" w:eastAsia="宋体" w:cs="宋体"/>
                      <w:kern w:val="0"/>
                      <w:sz w:val="25"/>
                      <w:szCs w:val="25"/>
                    </w:rPr>
                  </w:pPr>
                  <w:r>
                    <w:rPr>
                      <w:rFonts w:hint="eastAsia" w:ascii="宋体" w:hAnsi="宋体" w:eastAsia="宋体" w:cs="宋体"/>
                      <w:kern w:val="0"/>
                      <w:sz w:val="25"/>
                      <w:szCs w:val="25"/>
                    </w:rPr>
                    <w:t>卫生健康委员会,市场监管厅,</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rHeight w:val="646" w:hRule="exact"/>
              </w:trPr>
              <w:tc>
                <w:tcPr>
                  <w:tcW w:w="1562"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hint="eastAsia" w:ascii="宋体" w:hAnsi="宋体" w:eastAsia="宋体" w:cs="宋体"/>
                      <w:kern w:val="0"/>
                      <w:sz w:val="25"/>
                      <w:szCs w:val="25"/>
                    </w:rPr>
                  </w:pPr>
                  <w:r>
                    <w:rPr>
                      <w:rFonts w:hint="eastAsia" w:ascii="宋体" w:hAnsi="宋体" w:eastAsia="宋体" w:cs="宋体"/>
                      <w:kern w:val="0"/>
                      <w:sz w:val="25"/>
                      <w:szCs w:val="25"/>
                    </w:rPr>
                    <w:t>主办单位</w:t>
                  </w:r>
                </w:p>
              </w:tc>
              <w:tc>
                <w:tcPr>
                  <w:tcW w:w="7581" w:type="dxa"/>
                  <w:gridSpan w:val="3"/>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hint="eastAsia" w:ascii="宋体" w:hAnsi="宋体" w:eastAsia="宋体" w:cs="宋体"/>
                      <w:kern w:val="0"/>
                      <w:sz w:val="25"/>
                      <w:szCs w:val="25"/>
                    </w:rPr>
                  </w:pPr>
                  <w:r>
                    <w:rPr>
                      <w:rFonts w:hint="eastAsia" w:ascii="宋体" w:hAnsi="宋体" w:eastAsia="宋体" w:cs="宋体"/>
                      <w:kern w:val="0"/>
                      <w:sz w:val="25"/>
                      <w:szCs w:val="25"/>
                    </w:rPr>
                    <w:t>卫生健康委员会</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rHeight w:val="646" w:hRule="exact"/>
              </w:trPr>
              <w:tc>
                <w:tcPr>
                  <w:tcW w:w="1562"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hint="eastAsia" w:ascii="宋体" w:hAnsi="宋体" w:eastAsia="宋体" w:cs="宋体"/>
                      <w:kern w:val="0"/>
                      <w:sz w:val="25"/>
                      <w:szCs w:val="25"/>
                    </w:rPr>
                  </w:pPr>
                  <w:r>
                    <w:rPr>
                      <w:rFonts w:hint="eastAsia" w:ascii="宋体" w:hAnsi="宋体" w:eastAsia="宋体" w:cs="宋体"/>
                      <w:kern w:val="0"/>
                      <w:sz w:val="25"/>
                      <w:szCs w:val="25"/>
                    </w:rPr>
                    <w:t>协办单位</w:t>
                  </w:r>
                </w:p>
              </w:tc>
              <w:tc>
                <w:tcPr>
                  <w:tcW w:w="7581" w:type="dxa"/>
                  <w:gridSpan w:val="3"/>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hint="eastAsia" w:ascii="宋体" w:hAnsi="宋体" w:eastAsia="宋体" w:cs="宋体"/>
                      <w:kern w:val="0"/>
                      <w:sz w:val="25"/>
                      <w:szCs w:val="25"/>
                    </w:rPr>
                  </w:pPr>
                  <w:r>
                    <w:rPr>
                      <w:rFonts w:hint="eastAsia" w:ascii="宋体" w:hAnsi="宋体" w:eastAsia="宋体" w:cs="宋体"/>
                      <w:kern w:val="0"/>
                      <w:sz w:val="25"/>
                      <w:szCs w:val="25"/>
                    </w:rPr>
                    <w:t>工业和信息化厅,药品监督管理局,</w:t>
                  </w:r>
                </w:p>
              </w:tc>
            </w:tr>
          </w:tbl>
          <w:p>
            <w:pPr>
              <w:keepNext w:val="0"/>
              <w:keepLines w:val="0"/>
              <w:widowControl/>
              <w:suppressLineNumbers w:val="0"/>
              <w:spacing w:beforeLines="0" w:afterLines="0" w:line="600" w:lineRule="exact"/>
              <w:jc w:val="center"/>
              <w:rPr>
                <w:rFonts w:hint="eastAsia" w:ascii="宋体" w:hAnsi="宋体" w:eastAsia="宋体" w:cs="宋体"/>
                <w:kern w:val="0"/>
                <w:sz w:val="34"/>
                <w:szCs w:val="34"/>
              </w:rPr>
            </w:pPr>
            <w:r>
              <w:rPr>
                <w:rFonts w:hint="eastAsia" w:ascii="宋体" w:hAnsi="宋体" w:eastAsia="宋体" w:cs="宋体"/>
                <w:kern w:val="0"/>
                <w:sz w:val="34"/>
                <w:szCs w:val="34"/>
              </w:rPr>
              <w:t> </w:t>
            </w:r>
          </w:p>
        </w:tc>
      </w:tr>
    </w:tbl>
    <w:p>
      <w:pPr>
        <w:keepNext w:val="0"/>
        <w:keepLines w:val="0"/>
        <w:widowControl/>
        <w:suppressLineNumbers w:val="0"/>
        <w:spacing w:beforeLines="0" w:afterLines="0" w:line="600" w:lineRule="exact"/>
        <w:rPr>
          <w:rFonts w:hint="eastAsia" w:ascii="宋体" w:hAnsi="宋体" w:eastAsia="宋体" w:cs="宋体"/>
          <w:vanish/>
          <w:kern w:val="0"/>
          <w:sz w:val="24"/>
          <w:szCs w:val="24"/>
        </w:rPr>
      </w:pPr>
      <w:r>
        <w:rPr>
          <w:rFonts w:hint="eastAsia" w:ascii="宋体" w:hAnsi="宋体" w:eastAsia="宋体" w:cs="宋体"/>
          <w:vanish/>
          <w:kern w:val="0"/>
          <w:sz w:val="24"/>
          <w:szCs w:val="24"/>
        </w:rPr>
        <w:t xml:space="preserve"> </w:t>
      </w:r>
    </w:p>
    <w:p>
      <w:pPr>
        <w:keepNext w:val="0"/>
        <w:keepLines w:val="0"/>
        <w:widowControl/>
        <w:suppressLineNumbers w:val="0"/>
        <w:spacing w:beforeLines="0" w:afterLines="0" w:line="600" w:lineRule="exact"/>
        <w:rPr>
          <w:rFonts w:hint="eastAsia" w:ascii="宋体" w:hAnsi="宋体" w:eastAsia="宋体" w:cs="宋体"/>
          <w:kern w:val="0"/>
          <w:sz w:val="24"/>
          <w:szCs w:val="24"/>
        </w:rPr>
      </w:pPr>
    </w:p>
    <w:p>
      <w:pPr>
        <w:keepNext w:val="0"/>
        <w:keepLines w:val="0"/>
        <w:widowControl/>
        <w:suppressLineNumbers w:val="0"/>
        <w:spacing w:beforeLines="0" w:afterLines="0" w:line="600" w:lineRule="exact"/>
        <w:rPr>
          <w:rFonts w:hint="eastAsia" w:ascii="宋体" w:hAnsi="宋体" w:eastAsia="宋体" w:cs="宋体"/>
          <w:kern w:val="0"/>
          <w:sz w:val="24"/>
          <w:szCs w:val="24"/>
        </w:rPr>
      </w:pPr>
    </w:p>
    <w:p>
      <w:pPr>
        <w:keepNext w:val="0"/>
        <w:keepLines w:val="0"/>
        <w:widowControl/>
        <w:suppressLineNumbers w:val="0"/>
        <w:spacing w:beforeLines="0" w:afterLines="0" w:line="600" w:lineRule="exact"/>
        <w:rPr>
          <w:rFonts w:hint="eastAsia" w:ascii="宋体" w:hAnsi="宋体" w:eastAsia="宋体" w:cs="宋体"/>
          <w:vanish/>
          <w:kern w:val="0"/>
          <w:sz w:val="24"/>
          <w:szCs w:val="24"/>
        </w:rPr>
      </w:pPr>
    </w:p>
    <w:tbl>
      <w:tblPr>
        <w:tblStyle w:val="3"/>
        <w:tblW w:w="9125" w:type="dxa"/>
        <w:tblInd w:w="108" w:type="dxa"/>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Layout w:type="fixed"/>
        <w:tblCellMar>
          <w:top w:w="0" w:type="dxa"/>
          <w:left w:w="0" w:type="dxa"/>
          <w:bottom w:w="0" w:type="dxa"/>
          <w:right w:w="0" w:type="dxa"/>
        </w:tblCellMar>
      </w:tblPr>
      <w:tblGrid>
        <w:gridCol w:w="2356"/>
        <w:gridCol w:w="6769"/>
      </w:tblGrid>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rHeight w:val="631" w:hRule="atLeast"/>
        </w:trPr>
        <w:tc>
          <w:tcPr>
            <w:tcW w:w="2356" w:type="dxa"/>
            <w:tcBorders>
              <w:tl2br w:val="nil"/>
              <w:tr2bl w:val="nil"/>
            </w:tcBorders>
            <w:tcMar>
              <w:top w:w="120" w:type="dxa"/>
              <w:bottom w:w="120" w:type="dxa"/>
            </w:tcMar>
            <w:vAlign w:val="center"/>
          </w:tcPr>
          <w:p>
            <w:pPr>
              <w:keepNext w:val="0"/>
              <w:keepLines w:val="0"/>
              <w:widowControl/>
              <w:suppressLineNumbers w:val="0"/>
              <w:spacing w:beforeLines="0" w:afterLines="0" w:line="280" w:lineRule="exact"/>
              <w:jc w:val="center"/>
              <w:rPr>
                <w:rFonts w:hint="eastAsia" w:ascii="黑体" w:hAnsi="宋体" w:eastAsia="黑体" w:cs="黑体"/>
                <w:kern w:val="0"/>
                <w:sz w:val="25"/>
                <w:szCs w:val="25"/>
              </w:rPr>
            </w:pPr>
            <w:r>
              <w:rPr>
                <w:rFonts w:hint="eastAsia" w:ascii="黑体" w:hAnsi="宋体" w:eastAsia="黑体" w:cs="黑体"/>
                <w:kern w:val="0"/>
                <w:sz w:val="25"/>
                <w:szCs w:val="25"/>
              </w:rPr>
              <w:t>意见建议</w:t>
            </w:r>
          </w:p>
        </w:tc>
        <w:tc>
          <w:tcPr>
            <w:tcW w:w="6769" w:type="dxa"/>
            <w:tcBorders>
              <w:tl2br w:val="nil"/>
              <w:tr2bl w:val="nil"/>
            </w:tcBorders>
            <w:tcMar>
              <w:top w:w="120" w:type="dxa"/>
              <w:bottom w:w="120" w:type="dxa"/>
            </w:tcMar>
            <w:vAlign w:val="center"/>
          </w:tcPr>
          <w:p>
            <w:pPr>
              <w:keepNext w:val="0"/>
              <w:keepLines w:val="0"/>
              <w:widowControl/>
              <w:suppressLineNumbers w:val="0"/>
              <w:spacing w:beforeLines="0" w:afterLines="0" w:line="280" w:lineRule="exact"/>
              <w:jc w:val="center"/>
              <w:rPr>
                <w:rFonts w:hint="eastAsia" w:ascii="黑体" w:hAnsi="宋体" w:eastAsia="黑体" w:cs="黑体"/>
                <w:kern w:val="0"/>
                <w:sz w:val="25"/>
                <w:szCs w:val="25"/>
              </w:rPr>
            </w:pPr>
            <w:r>
              <w:rPr>
                <w:rFonts w:hint="eastAsia" w:ascii="黑体" w:hAnsi="宋体" w:eastAsia="黑体" w:cs="黑体"/>
                <w:kern w:val="0"/>
                <w:sz w:val="25"/>
                <w:szCs w:val="25"/>
              </w:rPr>
              <w:t>说明</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c>
          <w:tcPr>
            <w:tcW w:w="2356" w:type="dxa"/>
            <w:tcBorders>
              <w:tl2br w:val="nil"/>
              <w:tr2bl w:val="nil"/>
            </w:tcBorders>
            <w:tcMar>
              <w:top w:w="120" w:type="dxa"/>
              <w:bottom w:w="12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jc w:val="left"/>
              <w:textAlignment w:val="auto"/>
              <w:rPr>
                <w:rFonts w:hint="eastAsia" w:ascii="仿宋_GB2312" w:eastAsia="仿宋_GB2312" w:cs="仿宋_GB2312"/>
                <w:kern w:val="0"/>
                <w:sz w:val="24"/>
                <w:szCs w:val="24"/>
              </w:rPr>
            </w:pPr>
            <w:r>
              <w:rPr>
                <w:rFonts w:hint="eastAsia" w:ascii="仿宋_GB2312" w:eastAsia="仿宋_GB2312" w:cs="仿宋_GB2312"/>
                <w:kern w:val="0"/>
                <w:sz w:val="24"/>
                <w:szCs w:val="24"/>
              </w:rPr>
              <w:t xml:space="preserve">1.加大对公立中医院制剂的政策倾斜力度 </w:t>
            </w:r>
          </w:p>
        </w:tc>
        <w:tc>
          <w:tcPr>
            <w:tcW w:w="6769" w:type="dxa"/>
            <w:tcBorders>
              <w:tl2br w:val="nil"/>
              <w:tr2bl w:val="nil"/>
            </w:tcBorders>
            <w:tcMar>
              <w:top w:w="120" w:type="dxa"/>
              <w:bottom w:w="12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jc w:val="left"/>
              <w:textAlignment w:val="auto"/>
              <w:rPr>
                <w:rFonts w:hint="eastAsia" w:ascii="仿宋_GB2312" w:eastAsia="仿宋_GB2312" w:cs="仿宋_GB2312"/>
                <w:kern w:val="0"/>
                <w:sz w:val="24"/>
                <w:szCs w:val="24"/>
              </w:rPr>
            </w:pPr>
            <w:r>
              <w:rPr>
                <w:rFonts w:hint="eastAsia" w:ascii="仿宋_GB2312" w:eastAsia="仿宋_GB2312" w:cs="仿宋_GB2312"/>
                <w:kern w:val="0"/>
                <w:sz w:val="24"/>
                <w:szCs w:val="24"/>
              </w:rPr>
              <w:t xml:space="preserve">一是简化审批程序。 二是增加公立中医院医保政策扶持。 </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rHeight w:val="1294" w:hRule="atLeast"/>
        </w:trPr>
        <w:tc>
          <w:tcPr>
            <w:tcW w:w="2356" w:type="dxa"/>
            <w:tcBorders>
              <w:tl2br w:val="nil"/>
              <w:tr2bl w:val="nil"/>
            </w:tcBorders>
            <w:tcMar>
              <w:top w:w="120" w:type="dxa"/>
              <w:bottom w:w="12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jc w:val="left"/>
              <w:textAlignment w:val="auto"/>
              <w:rPr>
                <w:rFonts w:hint="eastAsia" w:ascii="仿宋_GB2312" w:eastAsia="仿宋_GB2312" w:cs="仿宋_GB2312"/>
                <w:kern w:val="0"/>
                <w:sz w:val="24"/>
                <w:szCs w:val="24"/>
              </w:rPr>
            </w:pPr>
            <w:r>
              <w:rPr>
                <w:rFonts w:hint="eastAsia" w:ascii="仿宋_GB2312" w:eastAsia="仿宋_GB2312" w:cs="仿宋_GB2312"/>
                <w:kern w:val="0"/>
                <w:sz w:val="24"/>
                <w:szCs w:val="24"/>
              </w:rPr>
              <w:t xml:space="preserve">2.提供对公立中医院制剂的专项资金扶持 </w:t>
            </w:r>
          </w:p>
        </w:tc>
        <w:tc>
          <w:tcPr>
            <w:tcW w:w="6769" w:type="dxa"/>
            <w:tcBorders>
              <w:tl2br w:val="nil"/>
              <w:tr2bl w:val="nil"/>
            </w:tcBorders>
            <w:tcMar>
              <w:top w:w="120" w:type="dxa"/>
              <w:bottom w:w="12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jc w:val="left"/>
              <w:textAlignment w:val="auto"/>
              <w:rPr>
                <w:rFonts w:hint="eastAsia" w:ascii="仿宋_GB2312" w:eastAsia="仿宋_GB2312" w:cs="仿宋_GB2312"/>
                <w:kern w:val="0"/>
                <w:sz w:val="24"/>
                <w:szCs w:val="24"/>
              </w:rPr>
            </w:pPr>
            <w:r>
              <w:rPr>
                <w:rFonts w:hint="eastAsia" w:ascii="仿宋_GB2312" w:eastAsia="仿宋_GB2312" w:cs="仿宋_GB2312"/>
                <w:kern w:val="0"/>
                <w:sz w:val="24"/>
                <w:szCs w:val="24"/>
              </w:rPr>
              <w:t xml:space="preserve">一是加大制剂室的房屋建筑和面积的投入，使之适应所配制制剂的剂型和规模； 二是增加资金投入使制剂室洁净度能满足要求； 三是增加资金扶持，促进中药制剂室设备的更新，降低生产损耗。 </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c>
          <w:tcPr>
            <w:tcW w:w="2356" w:type="dxa"/>
            <w:tcBorders>
              <w:tl2br w:val="nil"/>
              <w:tr2bl w:val="nil"/>
            </w:tcBorders>
            <w:tcMar>
              <w:top w:w="120" w:type="dxa"/>
              <w:bottom w:w="12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jc w:val="left"/>
              <w:textAlignment w:val="auto"/>
              <w:rPr>
                <w:rFonts w:hint="eastAsia" w:ascii="仿宋_GB2312" w:eastAsia="仿宋_GB2312" w:cs="仿宋_GB2312"/>
                <w:kern w:val="0"/>
                <w:sz w:val="24"/>
                <w:szCs w:val="24"/>
              </w:rPr>
            </w:pPr>
            <w:r>
              <w:rPr>
                <w:rFonts w:hint="eastAsia" w:ascii="仿宋_GB2312" w:eastAsia="仿宋_GB2312" w:cs="仿宋_GB2312"/>
                <w:kern w:val="0"/>
                <w:sz w:val="24"/>
                <w:szCs w:val="24"/>
              </w:rPr>
              <w:t>3.建立适应规模的制剂室，组建区域性制剂中心。</w:t>
            </w:r>
          </w:p>
        </w:tc>
        <w:tc>
          <w:tcPr>
            <w:tcW w:w="6769" w:type="dxa"/>
            <w:tcBorders>
              <w:tl2br w:val="nil"/>
              <w:tr2bl w:val="nil"/>
            </w:tcBorders>
            <w:tcMar>
              <w:top w:w="120" w:type="dxa"/>
              <w:bottom w:w="12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jc w:val="left"/>
              <w:textAlignment w:val="auto"/>
              <w:rPr>
                <w:rFonts w:hint="eastAsia" w:ascii="仿宋_GB2312" w:eastAsia="仿宋_GB2312" w:cs="仿宋_GB2312"/>
                <w:kern w:val="0"/>
                <w:sz w:val="24"/>
                <w:szCs w:val="24"/>
              </w:rPr>
            </w:pP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rHeight w:val="1618" w:hRule="atLeast"/>
        </w:trPr>
        <w:tc>
          <w:tcPr>
            <w:tcW w:w="2356" w:type="dxa"/>
            <w:tcBorders>
              <w:tl2br w:val="nil"/>
              <w:tr2bl w:val="nil"/>
            </w:tcBorders>
            <w:tcMar>
              <w:top w:w="120" w:type="dxa"/>
              <w:bottom w:w="120" w:type="dxa"/>
            </w:tcMar>
            <w:vAlign w:val="center"/>
          </w:tcPr>
          <w:p>
            <w:pPr>
              <w:keepNext w:val="0"/>
              <w:keepLines w:val="0"/>
              <w:widowControl/>
              <w:suppressLineNumbers w:val="0"/>
              <w:spacing w:beforeLines="0" w:afterLines="0" w:line="280" w:lineRule="exact"/>
              <w:jc w:val="center"/>
              <w:rPr>
                <w:rFonts w:hint="eastAsia" w:ascii="宋体" w:hAnsi="宋体" w:eastAsia="宋体" w:cs="宋体"/>
                <w:kern w:val="0"/>
                <w:sz w:val="25"/>
                <w:szCs w:val="25"/>
              </w:rPr>
            </w:pPr>
            <w:r>
              <w:rPr>
                <w:rFonts w:hint="eastAsia" w:ascii="宋体" w:hAnsi="宋体" w:eastAsia="宋体" w:cs="宋体"/>
                <w:kern w:val="0"/>
                <w:sz w:val="25"/>
                <w:szCs w:val="25"/>
              </w:rPr>
              <w:t>背</w:t>
            </w:r>
            <w:r>
              <w:rPr>
                <w:rFonts w:hint="eastAsia" w:ascii="宋体" w:hAnsi="宋体" w:eastAsia="宋体" w:cs="宋体"/>
                <w:kern w:val="0"/>
                <w:sz w:val="25"/>
                <w:szCs w:val="25"/>
              </w:rPr>
              <w:br w:type="textWrapping"/>
            </w:r>
            <w:r>
              <w:rPr>
                <w:rFonts w:hint="eastAsia" w:ascii="宋体" w:hAnsi="宋体" w:eastAsia="宋体" w:cs="宋体"/>
                <w:kern w:val="0"/>
                <w:sz w:val="25"/>
                <w:szCs w:val="25"/>
              </w:rPr>
              <w:t>景</w:t>
            </w:r>
            <w:r>
              <w:rPr>
                <w:rFonts w:hint="eastAsia" w:ascii="宋体" w:hAnsi="宋体" w:eastAsia="宋体" w:cs="宋体"/>
                <w:kern w:val="0"/>
                <w:sz w:val="25"/>
                <w:szCs w:val="25"/>
              </w:rPr>
              <w:br w:type="textWrapping"/>
            </w:r>
            <w:r>
              <w:rPr>
                <w:rFonts w:hint="eastAsia" w:ascii="宋体" w:hAnsi="宋体" w:eastAsia="宋体" w:cs="宋体"/>
                <w:kern w:val="0"/>
                <w:sz w:val="25"/>
                <w:szCs w:val="25"/>
              </w:rPr>
              <w:t>材</w:t>
            </w:r>
            <w:r>
              <w:rPr>
                <w:rFonts w:hint="eastAsia" w:ascii="宋体" w:hAnsi="宋体" w:eastAsia="宋体" w:cs="宋体"/>
                <w:kern w:val="0"/>
                <w:sz w:val="25"/>
                <w:szCs w:val="25"/>
              </w:rPr>
              <w:br w:type="textWrapping"/>
            </w:r>
            <w:r>
              <w:rPr>
                <w:rFonts w:hint="eastAsia" w:ascii="宋体" w:hAnsi="宋体" w:eastAsia="宋体" w:cs="宋体"/>
                <w:kern w:val="0"/>
                <w:sz w:val="25"/>
                <w:szCs w:val="25"/>
              </w:rPr>
              <w:t>料</w:t>
            </w:r>
          </w:p>
        </w:tc>
        <w:tc>
          <w:tcPr>
            <w:tcW w:w="6769" w:type="dxa"/>
            <w:tcBorders>
              <w:tl2br w:val="nil"/>
              <w:tr2bl w:val="nil"/>
            </w:tcBorders>
            <w:tcMar>
              <w:top w:w="120" w:type="dxa"/>
              <w:bottom w:w="12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jc w:val="left"/>
              <w:textAlignment w:val="auto"/>
              <w:rPr>
                <w:rFonts w:hint="eastAsia" w:ascii="仿宋_GB2312" w:eastAsia="仿宋_GB2312" w:cs="仿宋_GB2312"/>
                <w:kern w:val="0"/>
                <w:sz w:val="24"/>
                <w:szCs w:val="24"/>
              </w:rPr>
            </w:pPr>
            <w:r>
              <w:rPr>
                <w:rFonts w:hint="eastAsia" w:ascii="仿宋_GB2312" w:eastAsia="仿宋_GB2312" w:cs="仿宋_GB2312"/>
                <w:kern w:val="0"/>
                <w:sz w:val="24"/>
                <w:szCs w:val="24"/>
              </w:rPr>
              <w:t>宁夏区内公立医院具有医院制剂配制资格的制剂室现有6家，其中，中药制剂品种的制剂室有3家。一是宁夏医科大学总医院制剂中心有西药制剂33种、中药制剂4种；二是银川市中医院制剂室有中药制剂4种；三是自治区中医研究院制剂室有中药制剂28种。因此，我区公立中医院制剂的生存与发展更面临着巨大的挑战，主要有几下三点制约因素：</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firstLine="528"/>
              <w:jc w:val="left"/>
              <w:textAlignment w:val="auto"/>
              <w:rPr>
                <w:rFonts w:hint="eastAsia" w:ascii="仿宋_GB2312" w:eastAsia="仿宋_GB2312" w:cs="仿宋_GB2312"/>
                <w:kern w:val="0"/>
                <w:sz w:val="24"/>
                <w:szCs w:val="24"/>
              </w:rPr>
            </w:pPr>
            <w:r>
              <w:rPr>
                <w:rStyle w:val="8"/>
                <w:rFonts w:hint="eastAsia" w:ascii="仿宋_GB2312" w:eastAsia="仿宋_GB2312" w:cs="仿宋_GB2312"/>
                <w:b/>
                <w:color w:val="000000"/>
                <w:sz w:val="24"/>
                <w:szCs w:val="24"/>
              </w:rPr>
              <w:t>（一）药政法规的相继出台形成制剂的准入高“门槛”</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firstLine="528"/>
              <w:jc w:val="left"/>
              <w:textAlignment w:val="auto"/>
              <w:rPr>
                <w:rFonts w:hint="eastAsia" w:ascii="仿宋_GB2312" w:eastAsia="仿宋_GB2312" w:cs="仿宋_GB2312"/>
                <w:kern w:val="0"/>
                <w:sz w:val="24"/>
                <w:szCs w:val="24"/>
              </w:rPr>
            </w:pPr>
            <w:r>
              <w:rPr>
                <w:rFonts w:hint="eastAsia" w:ascii="仿宋_GB2312" w:eastAsia="仿宋_GB2312" w:cs="仿宋_GB2312"/>
                <w:color w:val="000000"/>
                <w:kern w:val="0"/>
                <w:sz w:val="24"/>
                <w:szCs w:val="24"/>
              </w:rPr>
              <w:t>随着《医疗机构制剂配制监督管理办法》及《医疗机构制剂注册管理办法》等一系列药政法规的出台，国家对医院配制制剂人员、硬件、软件及质量控制提出了更高要求。一方面，新制剂绝大部分都要参照新药的研究程序进行研制，远非一般制剂室所能承担；另一方面，很多通过临床检验疗效较好的中药制剂，不能像现代新药一样准确说明有效成分，拿不到制剂批准文号就不能生产；再次，现有政策法规对制剂品种的审批和注册有着严格的规定，尤其对于处方和制备工艺有变更的品种，还需提交相应的补充研究资料，所有品种原则上都要求建立有效成分的含量测定法，这对许多技术薄弱的中医医院制剂室是极大的挑战和困难。</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firstLine="528"/>
              <w:jc w:val="left"/>
              <w:textAlignment w:val="auto"/>
              <w:rPr>
                <w:rFonts w:hint="eastAsia" w:ascii="仿宋_GB2312" w:eastAsia="仿宋_GB2312" w:cs="仿宋_GB2312"/>
                <w:kern w:val="0"/>
                <w:sz w:val="24"/>
                <w:szCs w:val="24"/>
              </w:rPr>
            </w:pPr>
            <w:r>
              <w:rPr>
                <w:rStyle w:val="8"/>
                <w:rFonts w:hint="eastAsia" w:ascii="仿宋_GB2312" w:eastAsia="仿宋_GB2312" w:cs="仿宋_GB2312"/>
                <w:b/>
                <w:color w:val="000000"/>
                <w:sz w:val="24"/>
                <w:szCs w:val="24"/>
              </w:rPr>
              <w:t>（二）中医院制剂处于连年亏损导致部分公立中医院制剂逐步淡出</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firstLine="528"/>
              <w:jc w:val="left"/>
              <w:textAlignment w:val="auto"/>
              <w:rPr>
                <w:rFonts w:hint="eastAsia" w:ascii="仿宋_GB2312" w:eastAsia="仿宋_GB2312" w:cs="仿宋_GB2312"/>
                <w:kern w:val="0"/>
                <w:sz w:val="24"/>
                <w:szCs w:val="24"/>
              </w:rPr>
            </w:pPr>
            <w:r>
              <w:rPr>
                <w:rFonts w:hint="eastAsia" w:ascii="仿宋_GB2312" w:eastAsia="仿宋_GB2312" w:cs="仿宋_GB2312"/>
                <w:color w:val="000000"/>
                <w:kern w:val="0"/>
                <w:sz w:val="24"/>
                <w:szCs w:val="24"/>
              </w:rPr>
              <w:t>根据最新规定，医院制剂的生产要进行GPP认证管理，医疗机构对制剂室改造需要有一大笔投入，但不能核算入制剂价格，制剂标准提高，成本也高，而价格仍然沿用物价部门较低的定价，医院制剂经济效益必然下降，甚至是入不敷出。为此，部分公立中医院考虑到自身经济利益，而不得不放弃医院制剂。</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firstLine="528"/>
              <w:jc w:val="left"/>
              <w:textAlignment w:val="auto"/>
              <w:rPr>
                <w:rFonts w:hint="eastAsia" w:ascii="仿宋_GB2312" w:eastAsia="仿宋_GB2312" w:cs="仿宋_GB2312"/>
                <w:kern w:val="0"/>
                <w:sz w:val="24"/>
                <w:szCs w:val="24"/>
              </w:rPr>
            </w:pPr>
            <w:r>
              <w:rPr>
                <w:rStyle w:val="8"/>
                <w:rFonts w:hint="eastAsia" w:ascii="仿宋_GB2312" w:eastAsia="仿宋_GB2312" w:cs="仿宋_GB2312"/>
                <w:b/>
                <w:color w:val="000000"/>
                <w:sz w:val="24"/>
                <w:szCs w:val="24"/>
              </w:rPr>
              <w:t>（三）医院制剂不能达到规模化生产导致常规制剂品种逐步萎缩</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firstLine="528"/>
              <w:jc w:val="left"/>
              <w:textAlignment w:val="auto"/>
              <w:rPr>
                <w:rFonts w:hint="eastAsia" w:ascii="仿宋_GB2312" w:eastAsia="仿宋_GB2312" w:cs="仿宋_GB2312"/>
                <w:kern w:val="0"/>
                <w:sz w:val="24"/>
                <w:szCs w:val="24"/>
              </w:rPr>
            </w:pPr>
            <w:r>
              <w:rPr>
                <w:rFonts w:hint="eastAsia" w:ascii="仿宋_GB2312" w:eastAsia="仿宋_GB2312" w:cs="仿宋_GB2312"/>
                <w:color w:val="000000"/>
                <w:kern w:val="0"/>
                <w:sz w:val="24"/>
                <w:szCs w:val="24"/>
              </w:rPr>
              <w:t>《药品管理法》明确规定，市场上有供应的品种医院制剂室不再生产。与此同时，由于医院制剂无法达到规模化生产，制剂所用的包材、标签、说明书等用量较小，许多有资质的厂商出于经济利益考虑，不愿供应。尚有部分辅料（特别是矫味剂、溶剂等）市场缺乏药用级别的供应等等，多种因素造成了常规制剂品种逐步萎缩。</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firstLine="528"/>
              <w:jc w:val="left"/>
              <w:textAlignment w:val="auto"/>
              <w:rPr>
                <w:rFonts w:hint="eastAsia" w:ascii="仿宋_GB2312" w:eastAsia="仿宋_GB2312" w:cs="仿宋_GB2312"/>
                <w:kern w:val="0"/>
                <w:sz w:val="24"/>
                <w:szCs w:val="24"/>
              </w:rPr>
            </w:pPr>
            <w:r>
              <w:rPr>
                <w:rFonts w:hint="eastAsia" w:ascii="仿宋_GB2312" w:eastAsia="仿宋_GB2312" w:cs="仿宋_GB2312"/>
                <w:color w:val="000000"/>
                <w:kern w:val="0"/>
                <w:sz w:val="24"/>
                <w:szCs w:val="24"/>
              </w:rPr>
              <w:t>2017年7月1日，《中</w:t>
            </w:r>
            <w:r>
              <w:rPr>
                <w:rFonts w:hint="eastAsia" w:ascii="仿宋_GB2312" w:eastAsia="仿宋_GB2312" w:cs="仿宋_GB2312"/>
                <w:color w:val="000000"/>
                <w:kern w:val="0"/>
                <w:sz w:val="24"/>
                <w:szCs w:val="24"/>
                <w:lang w:eastAsia="zh-CN"/>
              </w:rPr>
              <w:t>华</w:t>
            </w:r>
            <w:r>
              <w:rPr>
                <w:rFonts w:hint="eastAsia" w:ascii="仿宋_GB2312" w:eastAsia="仿宋_GB2312" w:cs="仿宋_GB2312"/>
                <w:color w:val="000000"/>
                <w:kern w:val="0"/>
                <w:sz w:val="24"/>
                <w:szCs w:val="24"/>
              </w:rPr>
              <w:t>人民共和国中医药法》正式实施出台，其中第32条指出：</w:t>
            </w:r>
            <w:r>
              <w:rPr>
                <w:rStyle w:val="8"/>
                <w:rFonts w:hint="eastAsia" w:ascii="仿宋_GB2312" w:eastAsia="仿宋_GB2312" w:cs="仿宋_GB2312"/>
                <w:b/>
                <w:color w:val="000000"/>
                <w:sz w:val="24"/>
                <w:szCs w:val="24"/>
              </w:rPr>
              <w:t>“医疗机构配制的中药制剂品种，应当依法取得制剂批准文号。但是，仅应用传统工艺配制的中药制剂品种，向医疗机构所在地省、自治区、直辖市人民政府药品监督管理部门备案即可配制，不需要取得制剂批准文号”。</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firstLine="528"/>
              <w:jc w:val="left"/>
              <w:textAlignment w:val="auto"/>
              <w:rPr>
                <w:rFonts w:hint="eastAsia" w:ascii="仿宋_GB2312" w:eastAsia="仿宋_GB2312" w:cs="仿宋_GB2312"/>
                <w:kern w:val="0"/>
                <w:sz w:val="24"/>
                <w:szCs w:val="24"/>
              </w:rPr>
            </w:pPr>
            <w:r>
              <w:rPr>
                <w:rFonts w:hint="eastAsia" w:ascii="仿宋_GB2312" w:eastAsia="仿宋_GB2312" w:cs="仿宋_GB2312"/>
                <w:color w:val="000000"/>
                <w:kern w:val="0"/>
                <w:sz w:val="24"/>
                <w:szCs w:val="24"/>
              </w:rPr>
              <w:t>建议：</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firstLine="528"/>
              <w:jc w:val="left"/>
              <w:textAlignment w:val="auto"/>
              <w:rPr>
                <w:rFonts w:hint="eastAsia" w:ascii="仿宋_GB2312" w:eastAsia="仿宋_GB2312" w:cs="仿宋_GB2312"/>
                <w:kern w:val="0"/>
                <w:sz w:val="24"/>
                <w:szCs w:val="24"/>
              </w:rPr>
            </w:pPr>
            <w:r>
              <w:rPr>
                <w:rStyle w:val="8"/>
                <w:rFonts w:hint="eastAsia" w:ascii="仿宋_GB2312" w:eastAsia="仿宋_GB2312" w:cs="仿宋_GB2312"/>
                <w:b/>
                <w:color w:val="000000"/>
                <w:sz w:val="24"/>
                <w:szCs w:val="24"/>
              </w:rPr>
              <w:t>1.加大对公立中医院制剂的政策倾斜力度</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firstLine="528"/>
              <w:jc w:val="left"/>
              <w:textAlignment w:val="auto"/>
              <w:rPr>
                <w:rFonts w:hint="eastAsia" w:ascii="仿宋_GB2312" w:eastAsia="仿宋_GB2312" w:cs="仿宋_GB2312"/>
                <w:kern w:val="0"/>
                <w:sz w:val="24"/>
                <w:szCs w:val="24"/>
              </w:rPr>
            </w:pPr>
            <w:r>
              <w:rPr>
                <w:rFonts w:hint="eastAsia" w:ascii="仿宋_GB2312" w:eastAsia="仿宋_GB2312" w:cs="仿宋_GB2312"/>
                <w:color w:val="000000"/>
                <w:kern w:val="0"/>
                <w:sz w:val="24"/>
                <w:szCs w:val="24"/>
              </w:rPr>
              <w:t>一是简化审批程序。对于在临床长期使用的古方、秘方、验方等应进一步简化申报程序，但具体实施细则并未实行，在公立中医院制剂品种申报上，申报材料重点应放在对疗效、不良反应等临床数据的观察、追访、收集和统计上，对于动物实验等耗资巨大的项目则应尽可能简化；二是增加公立中医院医保政策扶持。将符合条件的医疗机构中药制剂纳入基本医疗保险基金支付范围。</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firstLine="528"/>
              <w:jc w:val="left"/>
              <w:textAlignment w:val="auto"/>
              <w:rPr>
                <w:rFonts w:hint="eastAsia" w:ascii="仿宋_GB2312" w:eastAsia="仿宋_GB2312" w:cs="仿宋_GB2312"/>
                <w:kern w:val="0"/>
                <w:sz w:val="24"/>
                <w:szCs w:val="24"/>
              </w:rPr>
            </w:pPr>
            <w:r>
              <w:rPr>
                <w:rStyle w:val="8"/>
                <w:rFonts w:hint="eastAsia" w:ascii="仿宋_GB2312" w:eastAsia="仿宋_GB2312" w:cs="仿宋_GB2312"/>
                <w:b/>
                <w:color w:val="000000"/>
                <w:sz w:val="24"/>
                <w:szCs w:val="24"/>
              </w:rPr>
              <w:t>2.提供对公立中医院制剂的专项资金扶持</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firstLine="528"/>
              <w:jc w:val="left"/>
              <w:textAlignment w:val="auto"/>
              <w:rPr>
                <w:rFonts w:hint="eastAsia" w:ascii="仿宋_GB2312" w:eastAsia="仿宋_GB2312" w:cs="仿宋_GB2312"/>
                <w:kern w:val="0"/>
                <w:sz w:val="24"/>
                <w:szCs w:val="24"/>
              </w:rPr>
            </w:pPr>
            <w:r>
              <w:rPr>
                <w:rFonts w:hint="eastAsia" w:ascii="仿宋_GB2312" w:eastAsia="仿宋_GB2312" w:cs="仿宋_GB2312"/>
                <w:color w:val="000000"/>
                <w:kern w:val="0"/>
                <w:sz w:val="24"/>
                <w:szCs w:val="24"/>
              </w:rPr>
              <w:t>目前，制剂室很难从医院获得更多资金进行硬件的改造，使绝大多数中医院的制剂室都难以达到GPP的要求。应当加大对制剂室硬件方面的投资力度，一是加大制剂室的房屋建筑和面积的投入，使之适应所配制制剂</w:t>
            </w:r>
            <w:bookmarkStart w:id="0" w:name="_GoBack"/>
            <w:bookmarkEnd w:id="0"/>
            <w:r>
              <w:rPr>
                <w:rFonts w:hint="eastAsia" w:ascii="仿宋_GB2312" w:eastAsia="仿宋_GB2312" w:cs="仿宋_GB2312"/>
                <w:color w:val="000000"/>
                <w:kern w:val="0"/>
                <w:sz w:val="24"/>
                <w:szCs w:val="24"/>
              </w:rPr>
              <w:t>的剂型和规模；二是增加资金投入使制剂室洁净度能满足要求；三是增加资金扶持，促进中药制剂室设备的更新，降低生产损耗。</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firstLine="528"/>
              <w:jc w:val="left"/>
              <w:textAlignment w:val="auto"/>
              <w:rPr>
                <w:rFonts w:hint="eastAsia" w:ascii="仿宋_GB2312" w:eastAsia="仿宋_GB2312" w:cs="仿宋_GB2312"/>
                <w:kern w:val="0"/>
                <w:sz w:val="24"/>
                <w:szCs w:val="24"/>
              </w:rPr>
            </w:pPr>
            <w:r>
              <w:rPr>
                <w:rStyle w:val="8"/>
                <w:rFonts w:hint="eastAsia" w:ascii="仿宋_GB2312" w:eastAsia="仿宋_GB2312" w:cs="仿宋_GB2312"/>
                <w:b/>
                <w:color w:val="000000"/>
                <w:sz w:val="24"/>
                <w:szCs w:val="24"/>
              </w:rPr>
              <w:t>3.建立适应规模的制剂室，组建区域性制剂中心</w:t>
            </w:r>
          </w:p>
          <w:p>
            <w:pPr>
              <w:pStyle w:val="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firstLine="528"/>
              <w:jc w:val="left"/>
              <w:textAlignment w:val="auto"/>
              <w:rPr>
                <w:rFonts w:hint="eastAsia" w:ascii="宋体" w:hAnsi="宋体" w:eastAsia="宋体" w:cs="宋体"/>
                <w:kern w:val="0"/>
                <w:sz w:val="25"/>
                <w:szCs w:val="25"/>
              </w:rPr>
            </w:pPr>
            <w:r>
              <w:rPr>
                <w:rFonts w:hint="eastAsia" w:ascii="仿宋_GB2312" w:eastAsia="仿宋_GB2312" w:cs="仿宋_GB2312"/>
                <w:color w:val="000000"/>
                <w:kern w:val="0"/>
                <w:sz w:val="24"/>
                <w:szCs w:val="24"/>
              </w:rPr>
              <w:t>对于基层医院，只生产简单的外用制剂，只需要建立30万级洁净标准的普通生产车间、药检室即可。对于大型综合性中医院来讲，建议新建制剂大楼根据自身情况设置以下部门：普通制剂室、中药制剂室、药检室、各类库房、办公学习室等。生产车间、研究室要预留一定空间，以便将来引进新型设备。可在区域内选择软硬件较好的制剂室进行升级改造，使之符合GPP等法规的要求，并成为该区域的制剂中心。</w:t>
            </w:r>
          </w:p>
        </w:tc>
      </w:tr>
    </w:tbl>
    <w:p>
      <w:pPr>
        <w:keepNext w:val="0"/>
        <w:keepLines w:val="0"/>
        <w:widowControl/>
        <w:suppressLineNumbers w:val="0"/>
        <w:spacing w:beforeLines="0" w:afterLines="0" w:line="600" w:lineRule="exact"/>
        <w:rPr>
          <w:rFonts w:hint="eastAsia" w:ascii="宋体" w:hAnsi="宋体" w:eastAsia="宋体" w:cs="宋体"/>
          <w:vanish/>
          <w:kern w:val="0"/>
          <w:sz w:val="24"/>
          <w:szCs w:val="24"/>
        </w:rPr>
      </w:pPr>
      <w:r>
        <w:rPr>
          <w:rFonts w:hint="eastAsia" w:ascii="宋体" w:hAnsi="宋体" w:eastAsia="宋体" w:cs="宋体"/>
          <w:vanish/>
          <w:kern w:val="0"/>
          <w:sz w:val="24"/>
          <w:szCs w:val="24"/>
        </w:rPr>
        <w:t xml:space="preserve"> </w:t>
      </w:r>
    </w:p>
    <w:p>
      <w:pPr>
        <w:keepNext w:val="0"/>
        <w:keepLines w:val="0"/>
        <w:widowControl/>
        <w:suppressLineNumbers w:val="0"/>
        <w:spacing w:beforeLines="0" w:afterLines="0" w:line="600" w:lineRule="exac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spacing w:beforeLines="0" w:afterLines="0" w:line="600" w:lineRule="exact"/>
        <w:rPr>
          <w:rFonts w:hint="eastAsia" w:ascii="宋体" w:hAnsi="宋体" w:eastAsia="宋体" w:cs="宋体"/>
          <w:kern w:val="0"/>
          <w:sz w:val="24"/>
          <w:szCs w:val="24"/>
        </w:rPr>
      </w:pPr>
    </w:p>
    <w:p>
      <w:pPr>
        <w:keepNext w:val="0"/>
        <w:keepLines w:val="0"/>
        <w:widowControl/>
        <w:suppressLineNumbers w:val="0"/>
        <w:spacing w:beforeLines="0" w:afterLines="0" w:line="600" w:lineRule="exact"/>
        <w:rPr>
          <w:rFonts w:hint="eastAsia" w:ascii="宋体" w:hAnsi="宋体" w:eastAsia="宋体" w:cs="宋体"/>
          <w:kern w:val="0"/>
          <w:sz w:val="24"/>
          <w:szCs w:val="24"/>
        </w:rPr>
      </w:pPr>
    </w:p>
    <w:p>
      <w:pPr>
        <w:keepNext w:val="0"/>
        <w:keepLines w:val="0"/>
        <w:widowControl/>
        <w:suppressLineNumbers w:val="0"/>
        <w:spacing w:beforeLines="0" w:afterLines="0" w:line="600" w:lineRule="exact"/>
        <w:rPr>
          <w:rFonts w:hint="eastAsia" w:ascii="宋体" w:hAnsi="宋体" w:eastAsia="宋体" w:cs="宋体"/>
          <w:kern w:val="0"/>
          <w:sz w:val="24"/>
          <w:szCs w:val="24"/>
        </w:rPr>
      </w:pPr>
    </w:p>
    <w:p>
      <w:pPr>
        <w:keepNext w:val="0"/>
        <w:keepLines w:val="0"/>
        <w:widowControl/>
        <w:suppressLineNumbers w:val="0"/>
        <w:spacing w:beforeLines="0" w:afterLines="0" w:line="600" w:lineRule="exact"/>
        <w:rPr>
          <w:rFonts w:hint="eastAsia" w:ascii="宋体" w:hAnsi="宋体" w:eastAsia="宋体" w:cs="宋体"/>
          <w:kern w:val="0"/>
          <w:sz w:val="24"/>
          <w:szCs w:val="24"/>
        </w:rPr>
      </w:pPr>
    </w:p>
    <w:p>
      <w:pPr>
        <w:keepNext w:val="0"/>
        <w:keepLines w:val="0"/>
        <w:widowControl/>
        <w:suppressLineNumbers w:val="0"/>
        <w:spacing w:beforeLines="0" w:afterLines="0" w:line="600" w:lineRule="exact"/>
        <w:rPr>
          <w:rFonts w:hint="eastAsia" w:ascii="宋体" w:hAnsi="宋体" w:eastAsia="宋体" w:cs="宋体"/>
          <w:kern w:val="0"/>
          <w:sz w:val="24"/>
          <w:szCs w:val="24"/>
        </w:rPr>
      </w:pPr>
    </w:p>
    <w:p>
      <w:pPr>
        <w:keepNext w:val="0"/>
        <w:keepLines w:val="0"/>
        <w:widowControl/>
        <w:suppressLineNumbers w:val="0"/>
        <w:spacing w:beforeLines="0" w:afterLines="0" w:line="600" w:lineRule="exact"/>
        <w:rPr>
          <w:rFonts w:hint="eastAsia" w:ascii="宋体" w:hAnsi="宋体" w:eastAsia="宋体" w:cs="宋体"/>
          <w:kern w:val="0"/>
          <w:sz w:val="24"/>
          <w:szCs w:val="24"/>
        </w:rPr>
      </w:pPr>
    </w:p>
    <w:p>
      <w:pPr>
        <w:keepNext w:val="0"/>
        <w:keepLines w:val="0"/>
        <w:widowControl/>
        <w:suppressLineNumbers w:val="0"/>
        <w:spacing w:beforeLines="0" w:afterLines="0" w:line="600" w:lineRule="exact"/>
        <w:rPr>
          <w:rFonts w:hint="eastAsia" w:ascii="宋体" w:hAnsi="宋体" w:eastAsia="宋体" w:cs="宋体"/>
          <w:kern w:val="0"/>
          <w:sz w:val="24"/>
          <w:szCs w:val="24"/>
        </w:rPr>
      </w:pPr>
    </w:p>
    <w:p>
      <w:pPr>
        <w:keepNext w:val="0"/>
        <w:keepLines w:val="0"/>
        <w:widowControl/>
        <w:suppressLineNumbers w:val="0"/>
        <w:spacing w:beforeLines="0" w:afterLines="0" w:line="600" w:lineRule="exact"/>
        <w:rPr>
          <w:rFonts w:hint="eastAsia" w:ascii="宋体" w:hAnsi="宋体" w:eastAsia="宋体" w:cs="宋体"/>
          <w:kern w:val="0"/>
          <w:sz w:val="24"/>
          <w:szCs w:val="24"/>
        </w:rPr>
      </w:pPr>
    </w:p>
    <w:p>
      <w:pPr>
        <w:keepNext w:val="0"/>
        <w:keepLines w:val="0"/>
        <w:widowControl/>
        <w:suppressLineNumbers w:val="0"/>
        <w:spacing w:beforeLines="0" w:afterLines="0" w:line="600" w:lineRule="exact"/>
        <w:rPr>
          <w:rFonts w:hint="eastAsia" w:ascii="宋体" w:hAnsi="宋体" w:eastAsia="宋体" w:cs="宋体"/>
          <w:kern w:val="0"/>
          <w:sz w:val="24"/>
          <w:szCs w:val="24"/>
        </w:rPr>
      </w:pPr>
    </w:p>
    <w:p>
      <w:pPr>
        <w:keepNext w:val="0"/>
        <w:keepLines w:val="0"/>
        <w:widowControl/>
        <w:suppressLineNumbers w:val="0"/>
        <w:spacing w:beforeLines="0" w:afterLines="0" w:line="600" w:lineRule="exact"/>
        <w:rPr>
          <w:rFonts w:hint="eastAsia" w:ascii="宋体" w:hAnsi="宋体" w:eastAsia="宋体" w:cs="宋体"/>
          <w:kern w:val="0"/>
          <w:sz w:val="24"/>
          <w:szCs w:val="24"/>
        </w:rPr>
      </w:pP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tbl>
      <w:tblPr>
        <w:tblStyle w:val="3"/>
        <w:tblW w:w="8370" w:type="dxa"/>
        <w:tblCellSpacing w:w="0" w:type="dxa"/>
        <w:tblInd w:w="10" w:type="dxa"/>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Layout w:type="fixed"/>
        <w:tblCellMar>
          <w:top w:w="0" w:type="dxa"/>
          <w:left w:w="0" w:type="dxa"/>
          <w:bottom w:w="0" w:type="dxa"/>
          <w:right w:w="0" w:type="dxa"/>
        </w:tblCellMar>
      </w:tblPr>
      <w:tblGrid>
        <w:gridCol w:w="8370"/>
      </w:tblGrid>
      <w:tr>
        <w:tblPrEx>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CellMar>
            <w:top w:w="0" w:type="dxa"/>
            <w:left w:w="0" w:type="dxa"/>
            <w:bottom w:w="0" w:type="dxa"/>
            <w:right w:w="0" w:type="dxa"/>
          </w:tblCellMar>
        </w:tblPrEx>
        <w:trPr>
          <w:tblCellSpacing w:w="0" w:type="dxa"/>
        </w:trPr>
        <w:tc>
          <w:tcPr>
            <w:tcW w:w="8370" w:type="dxa"/>
            <w:tcBorders>
              <w:top w:val="single" w:color="FFFFFF" w:sz="4" w:space="0"/>
              <w:left w:val="single" w:color="FFFFFF" w:sz="4" w:space="0"/>
              <w:bottom w:val="single" w:color="FFFFFF" w:sz="4" w:space="0"/>
              <w:right w:val="single" w:color="FFFFFF" w:sz="4" w:space="0"/>
            </w:tcBorders>
            <w:vAlign w:val="center"/>
          </w:tcPr>
          <w:p>
            <w:pPr>
              <w:keepNext w:val="0"/>
              <w:keepLines w:val="0"/>
              <w:widowControl/>
              <w:suppressLineNumbers w:val="0"/>
              <w:spacing w:beforeLines="0" w:afterLines="0" w:line="600" w:lineRule="exact"/>
              <w:jc w:val="center"/>
              <w:rPr>
                <w:rFonts w:ascii="宋体" w:hAnsi="宋体" w:eastAsia="宋体" w:cs="宋体"/>
                <w:sz w:val="34"/>
                <w:szCs w:val="34"/>
              </w:rPr>
            </w:pPr>
            <w:r>
              <w:rPr>
                <w:rFonts w:ascii="宋体" w:hAnsi="宋体" w:eastAsia="宋体" w:cs="宋体"/>
                <w:sz w:val="34"/>
                <w:szCs w:val="34"/>
              </w:rPr>
              <w:t>宁夏回族自治区政协</w:t>
            </w:r>
          </w:p>
        </w:tc>
      </w:tr>
      <w:tr>
        <w:tblPrEx>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CellMar>
            <w:top w:w="0" w:type="dxa"/>
            <w:left w:w="0" w:type="dxa"/>
            <w:bottom w:w="0" w:type="dxa"/>
            <w:right w:w="0" w:type="dxa"/>
          </w:tblCellMar>
        </w:tblPrEx>
        <w:trPr>
          <w:tblCellSpacing w:w="0" w:type="dxa"/>
        </w:trPr>
        <w:tc>
          <w:tcPr>
            <w:tcW w:w="8370" w:type="dxa"/>
            <w:tcBorders>
              <w:top w:val="single" w:color="FFFFFF" w:sz="4" w:space="0"/>
              <w:left w:val="single" w:color="FFFFFF" w:sz="4" w:space="0"/>
              <w:bottom w:val="single" w:color="FFFFFF" w:sz="4" w:space="0"/>
              <w:right w:val="single" w:color="FFFFFF" w:sz="4" w:space="0"/>
            </w:tcBorders>
            <w:vAlign w:val="center"/>
          </w:tcPr>
          <w:p>
            <w:pPr>
              <w:keepNext w:val="0"/>
              <w:keepLines w:val="0"/>
              <w:widowControl/>
              <w:suppressLineNumbers w:val="0"/>
              <w:spacing w:beforeLines="0" w:afterLines="0" w:line="600" w:lineRule="exact"/>
              <w:jc w:val="center"/>
              <w:rPr>
                <w:rFonts w:ascii="宋体" w:hAnsi="宋体" w:eastAsia="宋体" w:cs="宋体"/>
                <w:sz w:val="34"/>
                <w:szCs w:val="34"/>
              </w:rPr>
            </w:pPr>
            <w:r>
              <w:rPr>
                <w:rFonts w:ascii="宋体" w:hAnsi="宋体" w:eastAsia="宋体" w:cs="宋体"/>
                <w:sz w:val="34"/>
                <w:szCs w:val="34"/>
              </w:rPr>
              <w:t>十一届三次会议第297号提案</w:t>
            </w:r>
          </w:p>
        </w:tc>
      </w:tr>
      <w:tr>
        <w:tblPrEx>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CellMar>
            <w:top w:w="0" w:type="dxa"/>
            <w:left w:w="0" w:type="dxa"/>
            <w:bottom w:w="0" w:type="dxa"/>
            <w:right w:w="0" w:type="dxa"/>
          </w:tblCellMar>
        </w:tblPrEx>
        <w:trPr>
          <w:tblCellSpacing w:w="0" w:type="dxa"/>
        </w:trPr>
        <w:tc>
          <w:tcPr>
            <w:tcW w:w="8370" w:type="dxa"/>
            <w:tcBorders>
              <w:top w:val="single" w:color="FFFFFF" w:sz="4" w:space="0"/>
              <w:left w:val="single" w:color="FFFFFF" w:sz="4" w:space="0"/>
              <w:bottom w:val="single" w:color="FFFFFF" w:sz="4" w:space="0"/>
              <w:right w:val="single" w:color="FFFFFF" w:sz="4" w:space="0"/>
            </w:tcBorders>
            <w:vAlign w:val="center"/>
          </w:tcPr>
          <w:p>
            <w:pPr>
              <w:keepNext w:val="0"/>
              <w:keepLines w:val="0"/>
              <w:widowControl/>
              <w:suppressLineNumbers w:val="0"/>
              <w:spacing w:beforeLines="0" w:afterLines="0" w:line="600" w:lineRule="exact"/>
              <w:jc w:val="center"/>
              <w:rPr>
                <w:rFonts w:ascii="宋体" w:hAnsi="宋体" w:eastAsia="宋体" w:cs="宋体"/>
                <w:sz w:val="34"/>
                <w:szCs w:val="34"/>
              </w:rPr>
            </w:pPr>
            <w:r>
              <w:rPr>
                <w:rFonts w:ascii="宋体" w:hAnsi="宋体" w:eastAsia="宋体" w:cs="宋体"/>
                <w:sz w:val="34"/>
                <w:szCs w:val="34"/>
              </w:rPr>
              <w:t> </w:t>
            </w:r>
          </w:p>
        </w:tc>
      </w:tr>
    </w:tbl>
    <w:p>
      <w:pPr>
        <w:spacing w:beforeLines="0" w:afterLines="0" w:line="600" w:lineRule="exact"/>
        <w:rPr>
          <w:vanish/>
          <w:sz w:val="24"/>
          <w:szCs w:val="24"/>
        </w:rPr>
      </w:pPr>
    </w:p>
    <w:tbl>
      <w:tblPr>
        <w:tblStyle w:val="3"/>
        <w:tblW w:w="8444" w:type="dxa"/>
        <w:tblCellSpacing w:w="0" w:type="dxa"/>
        <w:tblInd w:w="11" w:type="dxa"/>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Layout w:type="fixed"/>
        <w:tblCellMar>
          <w:top w:w="0" w:type="dxa"/>
          <w:left w:w="0" w:type="dxa"/>
          <w:bottom w:w="0" w:type="dxa"/>
          <w:right w:w="0" w:type="dxa"/>
        </w:tblCellMar>
      </w:tblPr>
      <w:tblGrid>
        <w:gridCol w:w="1680"/>
        <w:gridCol w:w="1680"/>
        <w:gridCol w:w="1680"/>
        <w:gridCol w:w="3404"/>
      </w:tblGrid>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rHeight w:val="796" w:hRule="exact"/>
          <w:tblCellSpacing w:w="0" w:type="dxa"/>
        </w:trPr>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提案类型</w:t>
            </w:r>
          </w:p>
        </w:tc>
        <w:tc>
          <w:tcPr>
            <w:tcW w:w="6764" w:type="dxa"/>
            <w:gridSpan w:val="3"/>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ascii="宋体" w:hAnsi="宋体" w:eastAsia="宋体" w:cs="宋体"/>
                <w:sz w:val="25"/>
                <w:szCs w:val="25"/>
              </w:rPr>
            </w:pPr>
            <w:r>
              <w:rPr>
                <w:rFonts w:ascii="宋体" w:hAnsi="宋体" w:eastAsia="宋体" w:cs="宋体"/>
                <w:sz w:val="25"/>
                <w:szCs w:val="25"/>
              </w:rPr>
              <w:t>个人提案</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rHeight w:val="1184" w:hRule="exact"/>
          <w:tblCellSpacing w:w="0" w:type="dxa"/>
        </w:trPr>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案 由</w:t>
            </w:r>
          </w:p>
        </w:tc>
        <w:tc>
          <w:tcPr>
            <w:tcW w:w="6764" w:type="dxa"/>
            <w:gridSpan w:val="3"/>
            <w:tcBorders>
              <w:tl2br w:val="nil"/>
              <w:tr2bl w:val="nil"/>
            </w:tcBorders>
            <w:tcMar>
              <w:top w:w="120" w:type="dxa"/>
              <w:bottom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600" w:lineRule="exact"/>
              <w:jc w:val="left"/>
              <w:textAlignment w:val="auto"/>
              <w:rPr>
                <w:rFonts w:ascii="宋体" w:hAnsi="宋体" w:eastAsia="宋体" w:cs="宋体"/>
                <w:sz w:val="25"/>
                <w:szCs w:val="25"/>
              </w:rPr>
            </w:pPr>
            <w:r>
              <w:rPr>
                <w:rFonts w:ascii="宋体" w:hAnsi="宋体" w:eastAsia="宋体" w:cs="宋体"/>
                <w:sz w:val="25"/>
                <w:szCs w:val="25"/>
              </w:rPr>
              <w:t>关于以医院慢性病处方外流为突破口，将“互联网+医疗健康”引向深入的提案</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rHeight w:val="736" w:hRule="exact"/>
          <w:tblCellSpacing w:w="0" w:type="dxa"/>
        </w:trPr>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第一提案人</w:t>
            </w:r>
          </w:p>
        </w:tc>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ascii="宋体" w:hAnsi="宋体" w:eastAsia="宋体" w:cs="宋体"/>
                <w:sz w:val="25"/>
                <w:szCs w:val="25"/>
              </w:rPr>
            </w:pPr>
            <w:r>
              <w:rPr>
                <w:rFonts w:ascii="宋体" w:hAnsi="宋体" w:eastAsia="宋体" w:cs="宋体"/>
                <w:sz w:val="25"/>
                <w:szCs w:val="25"/>
              </w:rPr>
              <w:t>段军章</w:t>
            </w:r>
          </w:p>
        </w:tc>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联系电话</w:t>
            </w:r>
          </w:p>
        </w:tc>
        <w:tc>
          <w:tcPr>
            <w:tcW w:w="3404"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ascii="宋体" w:hAnsi="宋体" w:eastAsia="宋体" w:cs="宋体"/>
                <w:sz w:val="25"/>
                <w:szCs w:val="25"/>
              </w:rPr>
            </w:pPr>
            <w:r>
              <w:rPr>
                <w:rFonts w:ascii="宋体" w:hAnsi="宋体" w:eastAsia="宋体" w:cs="宋体"/>
                <w:sz w:val="25"/>
                <w:szCs w:val="25"/>
              </w:rPr>
              <w:t>18909541000</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rHeight w:val="836" w:hRule="exact"/>
          <w:tblCellSpacing w:w="0" w:type="dxa"/>
        </w:trPr>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提案日期</w:t>
            </w:r>
          </w:p>
        </w:tc>
        <w:tc>
          <w:tcPr>
            <w:tcW w:w="6764" w:type="dxa"/>
            <w:gridSpan w:val="3"/>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ascii="宋体" w:hAnsi="宋体" w:eastAsia="宋体" w:cs="宋体"/>
                <w:sz w:val="25"/>
                <w:szCs w:val="25"/>
              </w:rPr>
            </w:pPr>
            <w:r>
              <w:rPr>
                <w:rFonts w:ascii="宋体" w:hAnsi="宋体" w:eastAsia="宋体" w:cs="宋体"/>
                <w:sz w:val="25"/>
                <w:szCs w:val="25"/>
              </w:rPr>
              <w:t>2020-01-20</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rHeight w:val="756" w:hRule="exact"/>
          <w:tblCellSpacing w:w="0" w:type="dxa"/>
        </w:trPr>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希望承办单</w:t>
            </w:r>
            <w:r>
              <w:rPr>
                <w:rFonts w:ascii="宋体" w:hAnsi="宋体" w:eastAsia="宋体" w:cs="宋体"/>
                <w:sz w:val="25"/>
                <w:szCs w:val="25"/>
              </w:rPr>
              <w:br w:type="textWrapping"/>
            </w:r>
            <w:r>
              <w:rPr>
                <w:rFonts w:ascii="宋体" w:hAnsi="宋体" w:eastAsia="宋体" w:cs="宋体"/>
                <w:sz w:val="25"/>
                <w:szCs w:val="25"/>
              </w:rPr>
              <w:t>位(参考)</w:t>
            </w:r>
          </w:p>
        </w:tc>
        <w:tc>
          <w:tcPr>
            <w:tcW w:w="6764" w:type="dxa"/>
            <w:gridSpan w:val="3"/>
            <w:tcBorders>
              <w:tl2br w:val="nil"/>
              <w:tr2bl w:val="nil"/>
            </w:tcBorders>
            <w:tcMar>
              <w:top w:w="120" w:type="dxa"/>
              <w:bottom w:w="120" w:type="dxa"/>
            </w:tcMar>
            <w:vAlign w:val="center"/>
          </w:tcPr>
          <w:p>
            <w:pPr>
              <w:spacing w:beforeLines="0" w:afterLines="0" w:line="600" w:lineRule="exact"/>
              <w:jc w:val="left"/>
              <w:rPr>
                <w:rFonts w:hint="eastAsia" w:ascii="宋体" w:hAnsi="宋体" w:eastAsia="宋体" w:cs="宋体"/>
                <w:sz w:val="25"/>
                <w:szCs w:val="25"/>
              </w:rPr>
            </w:pP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PrEx>
        <w:trPr>
          <w:trHeight w:val="696" w:hRule="exact"/>
          <w:tblCellSpacing w:w="0" w:type="dxa"/>
        </w:trPr>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主办单位</w:t>
            </w:r>
          </w:p>
        </w:tc>
        <w:tc>
          <w:tcPr>
            <w:tcW w:w="6764" w:type="dxa"/>
            <w:gridSpan w:val="3"/>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ascii="宋体" w:hAnsi="宋体" w:eastAsia="宋体" w:cs="宋体"/>
                <w:sz w:val="25"/>
                <w:szCs w:val="25"/>
              </w:rPr>
            </w:pPr>
            <w:r>
              <w:rPr>
                <w:rFonts w:ascii="宋体" w:hAnsi="宋体" w:eastAsia="宋体" w:cs="宋体"/>
                <w:sz w:val="25"/>
                <w:szCs w:val="25"/>
              </w:rPr>
              <w:t>卫生健康委员会</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rHeight w:val="926" w:hRule="exact"/>
          <w:tblCellSpacing w:w="0" w:type="dxa"/>
        </w:trPr>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协办单位</w:t>
            </w:r>
          </w:p>
        </w:tc>
        <w:tc>
          <w:tcPr>
            <w:tcW w:w="6764" w:type="dxa"/>
            <w:gridSpan w:val="3"/>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ascii="宋体" w:hAnsi="宋体" w:eastAsia="宋体" w:cs="宋体"/>
                <w:sz w:val="25"/>
                <w:szCs w:val="25"/>
              </w:rPr>
            </w:pPr>
            <w:r>
              <w:rPr>
                <w:rFonts w:ascii="宋体" w:hAnsi="宋体" w:eastAsia="宋体" w:cs="宋体"/>
                <w:sz w:val="25"/>
                <w:szCs w:val="25"/>
              </w:rPr>
              <w:t>工业和信息化厅,财政厅,药品监督管理局</w:t>
            </w:r>
          </w:p>
        </w:tc>
      </w:tr>
    </w:tbl>
    <w:p>
      <w:pPr>
        <w:spacing w:beforeLines="0" w:afterLines="0" w:line="600" w:lineRule="exact"/>
        <w:rPr>
          <w:rFonts w:ascii="宋体" w:hAnsi="宋体" w:eastAsia="宋体" w:cs="宋体"/>
          <w:sz w:val="24"/>
          <w:szCs w:val="24"/>
          <w:lang w:val="en-US"/>
        </w:rPr>
      </w:pPr>
    </w:p>
    <w:p>
      <w:pPr>
        <w:spacing w:beforeLines="0" w:afterLines="0" w:line="600" w:lineRule="exact"/>
        <w:rPr>
          <w:rFonts w:ascii="宋体" w:hAnsi="宋体" w:eastAsia="宋体" w:cs="宋体"/>
          <w:sz w:val="24"/>
          <w:szCs w:val="24"/>
          <w:lang w:val="en-US"/>
        </w:rPr>
      </w:pPr>
    </w:p>
    <w:p>
      <w:pPr>
        <w:spacing w:beforeLines="0" w:afterLines="0" w:line="600" w:lineRule="exact"/>
        <w:rPr>
          <w:rFonts w:ascii="宋体" w:hAnsi="宋体" w:eastAsia="宋体" w:cs="宋体"/>
          <w:sz w:val="24"/>
          <w:szCs w:val="24"/>
          <w:lang w:val="en-US"/>
        </w:rPr>
      </w:pPr>
    </w:p>
    <w:p>
      <w:pPr>
        <w:spacing w:beforeLines="0" w:afterLines="0" w:line="600" w:lineRule="exact"/>
        <w:rPr>
          <w:rFonts w:ascii="宋体" w:hAnsi="宋体" w:eastAsia="宋体" w:cs="宋体"/>
          <w:sz w:val="24"/>
          <w:szCs w:val="24"/>
          <w:lang w:val="en-US"/>
        </w:rPr>
      </w:pPr>
    </w:p>
    <w:p>
      <w:pPr>
        <w:spacing w:beforeLines="0" w:afterLines="0" w:line="600" w:lineRule="exact"/>
        <w:rPr>
          <w:rFonts w:ascii="宋体" w:hAnsi="宋体" w:eastAsia="宋体" w:cs="宋体"/>
          <w:sz w:val="24"/>
          <w:szCs w:val="24"/>
          <w:lang w:val="en-US"/>
        </w:rPr>
      </w:pPr>
    </w:p>
    <w:p>
      <w:pPr>
        <w:spacing w:beforeLines="0" w:afterLines="0" w:line="600" w:lineRule="exact"/>
        <w:jc w:val="center"/>
        <w:rPr>
          <w:rFonts w:hint="eastAsia" w:ascii="方正小标宋简体" w:hAnsi="方正小标宋简体" w:eastAsia="方正小标宋简体" w:cs="方正小标宋简体"/>
          <w:sz w:val="44"/>
          <w:szCs w:val="44"/>
          <w:lang w:val="en-US"/>
        </w:rPr>
      </w:pPr>
    </w:p>
    <w:p>
      <w:pPr>
        <w:spacing w:beforeLines="0" w:afterLines="0" w:line="600" w:lineRule="exact"/>
        <w:jc w:val="center"/>
        <w:rPr>
          <w:rFonts w:hint="eastAsia" w:ascii="方正小标宋简体" w:hAnsi="方正小标宋简体" w:eastAsia="方正小标宋简体" w:cs="方正小标宋简体"/>
          <w:sz w:val="44"/>
          <w:szCs w:val="44"/>
          <w:lang w:val="en-US"/>
        </w:rPr>
      </w:pPr>
    </w:p>
    <w:p>
      <w:pPr>
        <w:spacing w:beforeLines="0" w:afterLines="0" w:line="600" w:lineRule="exact"/>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rPr>
        <w:t>提案内容</w:t>
      </w:r>
    </w:p>
    <w:p>
      <w:pPr>
        <w:spacing w:beforeLines="0" w:afterLines="0" w:line="600" w:lineRule="exact"/>
        <w:jc w:val="center"/>
        <w:rPr>
          <w:rFonts w:hint="eastAsia" w:ascii="方正小标宋简体" w:hAnsi="方正小标宋简体" w:eastAsia="方正小标宋简体" w:cs="方正小标宋简体"/>
          <w:sz w:val="44"/>
          <w:szCs w:val="44"/>
          <w:lang w:val="en-US"/>
        </w:rPr>
      </w:pPr>
    </w:p>
    <w:p>
      <w:pPr>
        <w:keepNext w:val="0"/>
        <w:keepLines w:val="0"/>
        <w:pageBreakBefore w:val="0"/>
        <w:widowControl/>
        <w:kinsoku/>
        <w:wordWrap/>
        <w:overflowPunct/>
        <w:topLinePunct w:val="0"/>
        <w:autoSpaceDE/>
        <w:autoSpaceDN/>
        <w:bidi w:val="0"/>
        <w:adjustRightInd/>
        <w:snapToGrid/>
        <w:spacing w:beforeLines="0" w:afterLines="0" w:line="540" w:lineRule="exact"/>
        <w:ind w:firstLine="480" w:firstLineChars="200"/>
        <w:jc w:val="both"/>
        <w:textAlignment w:val="auto"/>
        <w:rPr>
          <w:rFonts w:hint="eastAsia" w:ascii="仿宋_GB2312" w:hAnsi="仿宋_GB2312" w:eastAsia="仿宋_GB2312" w:cs="仿宋_GB2312"/>
          <w:sz w:val="32"/>
          <w:szCs w:val="32"/>
          <w:lang w:val="en-US"/>
        </w:rPr>
      </w:pPr>
      <w:r>
        <w:rPr>
          <w:rFonts w:hint="eastAsia" w:ascii="宋体" w:hAnsi="宋体" w:eastAsia="宋体" w:cs="宋体"/>
          <w:sz w:val="24"/>
          <w:szCs w:val="24"/>
          <w:lang w:val="en-US"/>
        </w:rPr>
        <w:t> </w:t>
      </w:r>
      <w:r>
        <w:rPr>
          <w:rFonts w:hint="eastAsia" w:ascii="仿宋_GB2312" w:hAnsi="仿宋_GB2312" w:eastAsia="仿宋_GB2312" w:cs="仿宋_GB2312"/>
          <w:sz w:val="32"/>
          <w:szCs w:val="32"/>
          <w:lang w:val="en-US"/>
        </w:rPr>
        <w:t>现就关于建立以医院慢性病处方外流为突破口，将“互联网+医疗健康”引向深入的建议汇报如下，不妥之处，敬请批评指正！</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2018年以来，自治区政府和国家卫生健康委在我区共同推进“互联网+医疗健康”示范区建设。这是全国第一个以省级单位为整体推进的“互联网+医疗健康”示范区建设。按照省部共建方案，全区以信息惠民便民、推进医疗卫生服务均等化、便民化、低廉化为抓手，以医疗卫生信息化为重点，推动示范区建设不断进步。当前，我认为应聚焦于推进医疗机构慢性病处方外流，塑造新的就医购药服务格局，将“互联网+医疗健康”示范区建设引向深入。</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一是推进医疗机构处方外流，打通网络诊疗服务群众最后一公里。国务院关于促进“互联网+医疗健康”发展的意见明确指出，允许依托医疗机构发展互联网医院，在线开展部分常见病、慢性病复诊、开具处方。目前，以高血压、糖尿病为重点，互联网医院在线复诊和开具处方正在稳步推进。但病人网上诊疗后，还需自己到医院或药店买药，并没有获得全链条的线上诊疗和购药服务。推进医疗机构处方外流，推进快递送药上门等第三方服务，快速打通互联网医院线上服务最后一公里，可以为患者提供全新的就医体验。</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二是推动医院和药店同台平等竞争，提升服务品质。目前，医院门诊限额内的药品已纳入医保报销，但药店没有。这就造成了两类主体的不平等竞争，变相鼓励患者到医院购药，加重了医疗机构服务负担。特别是在取消药品加成而社会机构又能提供购药服务的情况下，医院提供购药服务已意义不大。诊疗服务是医院的专长，药品销售药店有其独到之处。应及时将医保定点药店纳入医保报销统筹账户，发挥药店网点多、便民、价格低廉等优势，促进药品销售企业和医疗机构形成互相促进、互为补充的药学服务格局，将医院从不必要的药品服务中解放出来，集中精力提供优质诊疗服务。</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三是建立全区统一的药品处方审核平台，促进医院处方外流。当前，银川市的药品处方审核平台已在稳步推进，其他市正在跟进。建议建立全区统一的药品处方审核平台，将各类医院的高血压、糖尿病等疾病诊疗处方提交平台统一审核，对通过审核的处方单，通过平台向社会公开，由医院和药店，依据平台竞争接单规则和信用管理制度，结合自身实际情况竞争接单并配送。处方审核保障了处方质量，处方公开保证了平等竞争，管理制度确保了配送到位。科学流程和严谨制度相辅相成，能够有效推动各参与主体依法规范开展药品销售服务。</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总之，医院慢性病处方外流由于其安全性、可控性和可及性等方面的优势，在不需对现行政策进行过多调整、现有设施进行过多完善的情况下，能够实现部分药品的线上销售，形成新的产业链条，加速“互联网+医疗健康”示范区建设步伐，并创造鲜活实践经验，为“互联网+医疗健康”示范区建设其他工作提供有益借鉴，应做为当前工作的重点突破口。</w:t>
      </w:r>
    </w:p>
    <w:p>
      <w:pPr>
        <w:spacing w:beforeLines="0" w:afterLines="0" w:line="600" w:lineRule="exact"/>
        <w:rPr>
          <w:rFonts w:hint="eastAsia" w:ascii="宋体" w:hAnsi="宋体" w:eastAsia="宋体" w:cs="宋体"/>
          <w:sz w:val="24"/>
          <w:szCs w:val="24"/>
          <w:lang w:val="en-US"/>
        </w:rPr>
      </w:pP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附件6：</w:t>
      </w:r>
    </w:p>
    <w:tbl>
      <w:tblPr>
        <w:tblStyle w:val="3"/>
        <w:tblW w:w="8395" w:type="dxa"/>
        <w:tblCellSpacing w:w="0" w:type="dxa"/>
        <w:tblInd w:w="10" w:type="dxa"/>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Layout w:type="fixed"/>
        <w:tblCellMar>
          <w:top w:w="0" w:type="dxa"/>
          <w:left w:w="0" w:type="dxa"/>
          <w:bottom w:w="0" w:type="dxa"/>
          <w:right w:w="0" w:type="dxa"/>
        </w:tblCellMar>
      </w:tblPr>
      <w:tblGrid>
        <w:gridCol w:w="8395"/>
      </w:tblGrid>
      <w:tr>
        <w:tblPrEx>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CellMar>
            <w:top w:w="0" w:type="dxa"/>
            <w:left w:w="0" w:type="dxa"/>
            <w:bottom w:w="0" w:type="dxa"/>
            <w:right w:w="0" w:type="dxa"/>
          </w:tblCellMar>
        </w:tblPrEx>
        <w:trPr>
          <w:tblCellSpacing w:w="0" w:type="dxa"/>
        </w:trPr>
        <w:tc>
          <w:tcPr>
            <w:tcW w:w="8395" w:type="dxa"/>
            <w:tcBorders>
              <w:top w:val="single" w:color="FFFFFF" w:sz="4" w:space="0"/>
              <w:left w:val="single" w:color="FFFFFF" w:sz="4" w:space="0"/>
              <w:bottom w:val="single" w:color="FFFFFF" w:sz="4" w:space="0"/>
              <w:right w:val="single" w:color="FFFFFF" w:sz="4" w:space="0"/>
            </w:tcBorders>
            <w:vAlign w:val="center"/>
          </w:tcPr>
          <w:p>
            <w:pPr>
              <w:keepNext w:val="0"/>
              <w:keepLines w:val="0"/>
              <w:widowControl/>
              <w:suppressLineNumbers w:val="0"/>
              <w:spacing w:beforeLines="0" w:afterLines="0" w:line="600" w:lineRule="exact"/>
              <w:jc w:val="center"/>
              <w:rPr>
                <w:rFonts w:ascii="宋体" w:hAnsi="宋体" w:eastAsia="宋体" w:cs="宋体"/>
                <w:sz w:val="34"/>
                <w:szCs w:val="34"/>
              </w:rPr>
            </w:pPr>
            <w:r>
              <w:rPr>
                <w:rFonts w:ascii="宋体" w:hAnsi="宋体" w:eastAsia="宋体" w:cs="宋体"/>
                <w:sz w:val="34"/>
                <w:szCs w:val="34"/>
              </w:rPr>
              <w:t>宁夏回族自治区政协</w:t>
            </w:r>
          </w:p>
        </w:tc>
      </w:tr>
      <w:tr>
        <w:tblPrEx>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CellMar>
            <w:top w:w="0" w:type="dxa"/>
            <w:left w:w="0" w:type="dxa"/>
            <w:bottom w:w="0" w:type="dxa"/>
            <w:right w:w="0" w:type="dxa"/>
          </w:tblCellMar>
        </w:tblPrEx>
        <w:trPr>
          <w:tblCellSpacing w:w="0" w:type="dxa"/>
        </w:trPr>
        <w:tc>
          <w:tcPr>
            <w:tcW w:w="8395" w:type="dxa"/>
            <w:tcBorders>
              <w:top w:val="single" w:color="FFFFFF" w:sz="4" w:space="0"/>
              <w:left w:val="single" w:color="FFFFFF" w:sz="4" w:space="0"/>
              <w:bottom w:val="single" w:color="FFFFFF" w:sz="4" w:space="0"/>
              <w:right w:val="single" w:color="FFFFFF" w:sz="4" w:space="0"/>
            </w:tcBorders>
            <w:vAlign w:val="center"/>
          </w:tcPr>
          <w:p>
            <w:pPr>
              <w:keepNext w:val="0"/>
              <w:keepLines w:val="0"/>
              <w:widowControl/>
              <w:suppressLineNumbers w:val="0"/>
              <w:spacing w:beforeLines="0" w:afterLines="0" w:line="600" w:lineRule="exact"/>
              <w:jc w:val="center"/>
              <w:rPr>
                <w:rFonts w:ascii="宋体" w:hAnsi="宋体" w:eastAsia="宋体" w:cs="宋体"/>
                <w:sz w:val="34"/>
                <w:szCs w:val="34"/>
              </w:rPr>
            </w:pPr>
            <w:r>
              <w:rPr>
                <w:rFonts w:ascii="宋体" w:hAnsi="宋体" w:eastAsia="宋体" w:cs="宋体"/>
                <w:sz w:val="34"/>
                <w:szCs w:val="34"/>
              </w:rPr>
              <w:t>十一届三次会议第077号提案</w:t>
            </w:r>
          </w:p>
        </w:tc>
      </w:tr>
      <w:tr>
        <w:tblPrEx>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CellMar>
            <w:top w:w="0" w:type="dxa"/>
            <w:left w:w="0" w:type="dxa"/>
            <w:bottom w:w="0" w:type="dxa"/>
            <w:right w:w="0" w:type="dxa"/>
          </w:tblCellMar>
        </w:tblPrEx>
        <w:trPr>
          <w:tblCellSpacing w:w="0" w:type="dxa"/>
        </w:trPr>
        <w:tc>
          <w:tcPr>
            <w:tcW w:w="8395" w:type="dxa"/>
            <w:tcBorders>
              <w:top w:val="single" w:color="FFFFFF" w:sz="4" w:space="0"/>
              <w:left w:val="single" w:color="FFFFFF" w:sz="4" w:space="0"/>
              <w:bottom w:val="single" w:color="FFFFFF" w:sz="4" w:space="0"/>
              <w:right w:val="single" w:color="FFFFFF" w:sz="4" w:space="0"/>
            </w:tcBorders>
            <w:vAlign w:val="center"/>
          </w:tcPr>
          <w:p>
            <w:pPr>
              <w:keepNext w:val="0"/>
              <w:keepLines w:val="0"/>
              <w:widowControl/>
              <w:suppressLineNumbers w:val="0"/>
              <w:spacing w:beforeLines="0" w:afterLines="0" w:line="600" w:lineRule="exact"/>
              <w:jc w:val="center"/>
              <w:rPr>
                <w:rFonts w:ascii="宋体" w:hAnsi="宋体" w:eastAsia="宋体" w:cs="宋体"/>
                <w:sz w:val="34"/>
                <w:szCs w:val="34"/>
              </w:rPr>
            </w:pPr>
            <w:r>
              <w:rPr>
                <w:rFonts w:ascii="宋体" w:hAnsi="宋体" w:eastAsia="宋体" w:cs="宋体"/>
                <w:sz w:val="34"/>
                <w:szCs w:val="34"/>
              </w:rPr>
              <w:t> </w:t>
            </w:r>
          </w:p>
        </w:tc>
      </w:tr>
    </w:tbl>
    <w:p>
      <w:pPr>
        <w:spacing w:beforeLines="0" w:afterLines="0" w:line="600" w:lineRule="exact"/>
        <w:rPr>
          <w:vanish/>
          <w:sz w:val="24"/>
          <w:szCs w:val="24"/>
        </w:rPr>
      </w:pPr>
    </w:p>
    <w:tbl>
      <w:tblPr>
        <w:tblStyle w:val="3"/>
        <w:tblW w:w="8370" w:type="dxa"/>
        <w:tblCellSpacing w:w="0" w:type="dxa"/>
        <w:tblInd w:w="10" w:type="dxa"/>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Layout w:type="fixed"/>
        <w:tblCellMar>
          <w:top w:w="0" w:type="dxa"/>
          <w:left w:w="0" w:type="dxa"/>
          <w:bottom w:w="0" w:type="dxa"/>
          <w:right w:w="0" w:type="dxa"/>
        </w:tblCellMar>
      </w:tblPr>
      <w:tblGrid>
        <w:gridCol w:w="1680"/>
        <w:gridCol w:w="2283"/>
        <w:gridCol w:w="1954"/>
        <w:gridCol w:w="2453"/>
      </w:tblGrid>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blCellSpacing w:w="0" w:type="dxa"/>
        </w:trPr>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提案类型</w:t>
            </w:r>
          </w:p>
        </w:tc>
        <w:tc>
          <w:tcPr>
            <w:tcW w:w="6690" w:type="dxa"/>
            <w:gridSpan w:val="3"/>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ascii="宋体" w:hAnsi="宋体" w:eastAsia="宋体" w:cs="宋体"/>
                <w:sz w:val="25"/>
                <w:szCs w:val="25"/>
              </w:rPr>
            </w:pPr>
            <w:r>
              <w:rPr>
                <w:rFonts w:ascii="宋体" w:hAnsi="宋体" w:eastAsia="宋体" w:cs="宋体"/>
                <w:sz w:val="25"/>
                <w:szCs w:val="25"/>
              </w:rPr>
              <w:t>集体提案</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blCellSpacing w:w="0" w:type="dxa"/>
        </w:trPr>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集体单位</w:t>
            </w:r>
          </w:p>
        </w:tc>
        <w:tc>
          <w:tcPr>
            <w:tcW w:w="6690" w:type="dxa"/>
            <w:gridSpan w:val="3"/>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ascii="宋体" w:hAnsi="宋体" w:eastAsia="宋体" w:cs="宋体"/>
                <w:sz w:val="25"/>
                <w:szCs w:val="25"/>
              </w:rPr>
            </w:pPr>
            <w:r>
              <w:rPr>
                <w:rFonts w:ascii="宋体" w:hAnsi="宋体" w:eastAsia="宋体" w:cs="宋体"/>
                <w:sz w:val="25"/>
                <w:szCs w:val="25"/>
              </w:rPr>
              <w:t>农工党宁夏区委会</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blCellSpacing w:w="0" w:type="dxa"/>
        </w:trPr>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案 由</w:t>
            </w:r>
          </w:p>
        </w:tc>
        <w:tc>
          <w:tcPr>
            <w:tcW w:w="6690" w:type="dxa"/>
            <w:gridSpan w:val="3"/>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ascii="宋体" w:hAnsi="宋体" w:eastAsia="宋体" w:cs="宋体"/>
                <w:sz w:val="25"/>
                <w:szCs w:val="25"/>
              </w:rPr>
            </w:pPr>
            <w:r>
              <w:rPr>
                <w:rFonts w:ascii="宋体" w:hAnsi="宋体" w:eastAsia="宋体" w:cs="宋体"/>
                <w:sz w:val="25"/>
                <w:szCs w:val="25"/>
              </w:rPr>
              <w:t>关于加强消字号药膏和化妆品中激素成分监管的提案</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blCellSpacing w:w="0" w:type="dxa"/>
        </w:trPr>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第一提案人</w:t>
            </w:r>
          </w:p>
        </w:tc>
        <w:tc>
          <w:tcPr>
            <w:tcW w:w="2283"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ascii="宋体" w:hAnsi="宋体" w:eastAsia="宋体" w:cs="宋体"/>
                <w:sz w:val="25"/>
                <w:szCs w:val="25"/>
              </w:rPr>
            </w:pPr>
            <w:r>
              <w:rPr>
                <w:rFonts w:ascii="宋体" w:hAnsi="宋体" w:eastAsia="宋体" w:cs="宋体"/>
                <w:sz w:val="25"/>
                <w:szCs w:val="25"/>
              </w:rPr>
              <w:t>农工党宁夏区委会</w:t>
            </w:r>
          </w:p>
        </w:tc>
        <w:tc>
          <w:tcPr>
            <w:tcW w:w="1954"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联系电话</w:t>
            </w:r>
          </w:p>
        </w:tc>
        <w:tc>
          <w:tcPr>
            <w:tcW w:w="2453"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ascii="宋体" w:hAnsi="宋体" w:eastAsia="宋体" w:cs="宋体"/>
                <w:sz w:val="25"/>
                <w:szCs w:val="25"/>
              </w:rPr>
            </w:pPr>
            <w:r>
              <w:rPr>
                <w:rFonts w:ascii="宋体" w:hAnsi="宋体" w:eastAsia="宋体" w:cs="宋体"/>
                <w:sz w:val="25"/>
                <w:szCs w:val="25"/>
              </w:rPr>
              <w:t>13895110886</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blCellSpacing w:w="0" w:type="dxa"/>
        </w:trPr>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提案日期</w:t>
            </w:r>
          </w:p>
        </w:tc>
        <w:tc>
          <w:tcPr>
            <w:tcW w:w="6690" w:type="dxa"/>
            <w:gridSpan w:val="3"/>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ascii="宋体" w:hAnsi="宋体" w:eastAsia="宋体" w:cs="宋体"/>
                <w:sz w:val="25"/>
                <w:szCs w:val="25"/>
              </w:rPr>
            </w:pPr>
            <w:r>
              <w:rPr>
                <w:rFonts w:ascii="宋体" w:hAnsi="宋体" w:eastAsia="宋体" w:cs="宋体"/>
                <w:sz w:val="25"/>
                <w:szCs w:val="25"/>
              </w:rPr>
              <w:t>2020-01-06</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rHeight w:val="1191" w:hRule="atLeast"/>
          <w:tblCellSpacing w:w="0" w:type="dxa"/>
        </w:trPr>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希望承办单</w:t>
            </w:r>
            <w:r>
              <w:rPr>
                <w:rFonts w:ascii="宋体" w:hAnsi="宋体" w:eastAsia="宋体" w:cs="宋体"/>
                <w:sz w:val="25"/>
                <w:szCs w:val="25"/>
              </w:rPr>
              <w:br w:type="textWrapping"/>
            </w:r>
            <w:r>
              <w:rPr>
                <w:rFonts w:ascii="宋体" w:hAnsi="宋体" w:eastAsia="宋体" w:cs="宋体"/>
                <w:sz w:val="25"/>
                <w:szCs w:val="25"/>
              </w:rPr>
              <w:t>位(参考)</w:t>
            </w:r>
          </w:p>
        </w:tc>
        <w:tc>
          <w:tcPr>
            <w:tcW w:w="6690" w:type="dxa"/>
            <w:gridSpan w:val="3"/>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ascii="宋体" w:hAnsi="宋体" w:eastAsia="宋体" w:cs="宋体"/>
                <w:sz w:val="25"/>
                <w:szCs w:val="25"/>
              </w:rPr>
            </w:pPr>
            <w:r>
              <w:rPr>
                <w:rFonts w:ascii="宋体" w:hAnsi="宋体" w:eastAsia="宋体" w:cs="宋体"/>
                <w:sz w:val="25"/>
                <w:szCs w:val="25"/>
              </w:rPr>
              <w:t>卫生健康委员会,市场监管厅,</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blCellSpacing w:w="0" w:type="dxa"/>
        </w:trPr>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主办单位</w:t>
            </w:r>
          </w:p>
        </w:tc>
        <w:tc>
          <w:tcPr>
            <w:tcW w:w="6690" w:type="dxa"/>
            <w:gridSpan w:val="3"/>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hint="eastAsia" w:ascii="宋体" w:hAnsi="宋体" w:eastAsia="宋体" w:cs="宋体"/>
                <w:sz w:val="25"/>
                <w:szCs w:val="25"/>
                <w:lang w:eastAsia="zh-CN"/>
              </w:rPr>
            </w:pPr>
            <w:r>
              <w:rPr>
                <w:rFonts w:ascii="宋体" w:hAnsi="宋体" w:eastAsia="宋体" w:cs="宋体"/>
                <w:sz w:val="25"/>
                <w:szCs w:val="25"/>
              </w:rPr>
              <w:t>市场监管厅</w:t>
            </w:r>
            <w:r>
              <w:rPr>
                <w:rFonts w:hint="eastAsia" w:ascii="宋体" w:hAnsi="宋体" w:eastAsia="宋体" w:cs="宋体"/>
                <w:sz w:val="25"/>
                <w:szCs w:val="25"/>
                <w:lang w:eastAsia="zh-CN"/>
              </w:rPr>
              <w:t>（自治区药监局）</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blCellSpacing w:w="0" w:type="dxa"/>
        </w:trPr>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协办单位</w:t>
            </w:r>
          </w:p>
        </w:tc>
        <w:tc>
          <w:tcPr>
            <w:tcW w:w="6690" w:type="dxa"/>
            <w:gridSpan w:val="3"/>
            <w:tcBorders>
              <w:tl2br w:val="nil"/>
              <w:tr2bl w:val="nil"/>
            </w:tcBorders>
            <w:tcMar>
              <w:top w:w="120" w:type="dxa"/>
              <w:bottom w:w="120" w:type="dxa"/>
            </w:tcMar>
            <w:vAlign w:val="center"/>
          </w:tcPr>
          <w:p>
            <w:pPr>
              <w:spacing w:beforeLines="0" w:afterLines="0" w:line="600" w:lineRule="exact"/>
              <w:jc w:val="left"/>
              <w:rPr>
                <w:rFonts w:hint="eastAsia" w:ascii="宋体" w:hAnsi="宋体" w:eastAsia="宋体" w:cs="宋体"/>
                <w:sz w:val="25"/>
                <w:szCs w:val="25"/>
              </w:rPr>
            </w:pPr>
          </w:p>
        </w:tc>
      </w:tr>
    </w:tbl>
    <w:p>
      <w:pPr>
        <w:numPr>
          <w:ilvl w:val="0"/>
          <w:numId w:val="0"/>
        </w:numPr>
        <w:spacing w:beforeLines="0" w:afterLines="0" w:line="600" w:lineRule="exact"/>
        <w:rPr>
          <w:rFonts w:ascii="宋体" w:hAnsi="宋体" w:eastAsia="宋体" w:cs="宋体"/>
          <w:sz w:val="24"/>
          <w:szCs w:val="24"/>
          <w:lang w:val="en-US"/>
        </w:rPr>
      </w:pPr>
    </w:p>
    <w:p>
      <w:pPr>
        <w:numPr>
          <w:ilvl w:val="0"/>
          <w:numId w:val="0"/>
        </w:numPr>
        <w:spacing w:beforeLines="0" w:afterLines="0" w:line="600" w:lineRule="exact"/>
        <w:jc w:val="center"/>
        <w:rPr>
          <w:rFonts w:hint="eastAsia" w:ascii="方正小标宋简体" w:hAnsi="方正小标宋简体" w:eastAsia="方正小标宋简体" w:cs="方正小标宋简体"/>
          <w:sz w:val="44"/>
          <w:szCs w:val="44"/>
        </w:rPr>
      </w:pPr>
    </w:p>
    <w:p>
      <w:pPr>
        <w:numPr>
          <w:ilvl w:val="0"/>
          <w:numId w:val="0"/>
        </w:numPr>
        <w:spacing w:beforeLines="0" w:afterLines="0" w:line="600" w:lineRule="exact"/>
        <w:jc w:val="center"/>
        <w:rPr>
          <w:rFonts w:hint="eastAsia" w:ascii="方正小标宋简体" w:hAnsi="方正小标宋简体" w:eastAsia="方正小标宋简体" w:cs="方正小标宋简体"/>
          <w:sz w:val="44"/>
          <w:szCs w:val="44"/>
        </w:rPr>
      </w:pPr>
    </w:p>
    <w:p>
      <w:pPr>
        <w:numPr>
          <w:ilvl w:val="0"/>
          <w:numId w:val="0"/>
        </w:numPr>
        <w:spacing w:beforeLines="0" w:afterLines="0" w:line="600" w:lineRule="exact"/>
        <w:jc w:val="center"/>
        <w:rPr>
          <w:rFonts w:hint="eastAsia" w:ascii="方正小标宋简体" w:hAnsi="方正小标宋简体" w:eastAsia="方正小标宋简体" w:cs="方正小标宋简体"/>
          <w:sz w:val="44"/>
          <w:szCs w:val="44"/>
        </w:rPr>
      </w:pPr>
    </w:p>
    <w:p>
      <w:pPr>
        <w:numPr>
          <w:ilvl w:val="0"/>
          <w:numId w:val="0"/>
        </w:numPr>
        <w:spacing w:beforeLines="0" w:afterLines="0" w:line="600" w:lineRule="exact"/>
        <w:jc w:val="center"/>
        <w:rPr>
          <w:rFonts w:hint="eastAsia" w:ascii="方正小标宋简体" w:hAnsi="方正小标宋简体" w:eastAsia="方正小标宋简体" w:cs="方正小标宋简体"/>
          <w:sz w:val="44"/>
          <w:szCs w:val="44"/>
        </w:rPr>
      </w:pPr>
    </w:p>
    <w:p>
      <w:pPr>
        <w:numPr>
          <w:ilvl w:val="0"/>
          <w:numId w:val="0"/>
        </w:numPr>
        <w:spacing w:beforeLines="0" w:afterLines="0" w:line="600" w:lineRule="exact"/>
        <w:jc w:val="center"/>
        <w:rPr>
          <w:rFonts w:hint="eastAsia" w:ascii="方正小标宋简体" w:hAnsi="方正小标宋简体" w:eastAsia="方正小标宋简体" w:cs="方正小标宋简体"/>
          <w:sz w:val="44"/>
          <w:szCs w:val="44"/>
        </w:rPr>
      </w:pPr>
    </w:p>
    <w:p>
      <w:pPr>
        <w:numPr>
          <w:ilvl w:val="0"/>
          <w:numId w:val="0"/>
        </w:numPr>
        <w:spacing w:beforeLines="0" w:afterLines="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提案内容</w:t>
      </w:r>
    </w:p>
    <w:p>
      <w:pPr>
        <w:numPr>
          <w:ilvl w:val="0"/>
          <w:numId w:val="0"/>
        </w:numPr>
        <w:spacing w:beforeLines="0" w:afterLines="0" w:line="540" w:lineRule="exact"/>
        <w:jc w:val="center"/>
        <w:rPr>
          <w:rFonts w:hint="eastAsia" w:ascii="方正小标宋简体" w:hAnsi="方正小标宋简体" w:eastAsia="方正小标宋简体" w:cs="方正小标宋简体"/>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几年来激素依赖性皮炎患者越来越多，特别是女性患者，主要问题就是颜面部皮肤变薄发红敏感，即我们通常说的“激素脸”。这一问题越来越严重，发病率逐年增高，除环境因素、体质因素等外，长期使用可能含有激素成分化妆品和消字号皮肤外用药膏也是主要原因。</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市场上、药店里推荐治疗皮肤疾病的药膏多是“消字号”的药膏，这些药膏大多打着“纯天然中草药配方”，对是否含有激素成分只字未提，且成分不明确。由于药店和网络的大肆宣传，患者因相关知识的缺乏长期大量使用，导致各种不良反应发生如色沉、局部皮肤萎缩、毛细血管扩张、激素依赖性皮炎、痤疮样疹、酒渣鼻样疹、毛囊炎性脓疱等。</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在市场上化妆品品种繁多、良莠不齐，特别是网上、微信上也是不遗余力推销各种功效、各个国家的化妆品，各种形态各种原料都有。特别是有些美白嫩肤的化妆品、面膜为了快速产生作用也会偷偷加入激素，刚开始、确实能让脸蛋变得光滑、靓白，产生“皮肤瞬间变好”的错觉。当用一段时一停用，脸比原来更糟糕了，变得发红、干痒、红血丝、痘痘疹，此时对激素已经产生了依赖成为激素脸。</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为此，建议：</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40" w:lineRule="exact"/>
        <w:ind w:firstLine="642"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一是加强监管。</w:t>
      </w:r>
      <w:r>
        <w:rPr>
          <w:rFonts w:hint="eastAsia" w:ascii="仿宋_GB2312" w:hAnsi="仿宋_GB2312" w:eastAsia="仿宋_GB2312" w:cs="仿宋_GB2312"/>
          <w:sz w:val="32"/>
          <w:szCs w:val="32"/>
        </w:rPr>
        <w:t>各级卫生行政部门、市场监管部门和工商行政部门切实加强事中事后监管，依法严肃查处违法违规行为，进一步加强相关产品事中事后监管，推行日常监督检查、随机抽检、通报、信用管理等方式，把激素成分监测作为化妆品和消字号药膏特别是打着中药本草药膏的主要监管项目。对药店实施重点监管，严厉打击药店超范围超说明使用相关药膏，并网络监管消字号销售情况，对一些热销消字号药膏实施激素成分重点监测。对化妆品要实施实时监测，引入大数据对线下及线上销量大的化妆品实施重点监测。</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40" w:lineRule="exact"/>
        <w:ind w:firstLine="642"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二是实施化妆品“你送我检”活动。</w:t>
      </w:r>
      <w:r>
        <w:rPr>
          <w:rFonts w:hint="eastAsia" w:ascii="仿宋_GB2312" w:hAnsi="仿宋_GB2312" w:eastAsia="仿宋_GB2312" w:cs="仿宋_GB2312"/>
          <w:sz w:val="32"/>
          <w:szCs w:val="32"/>
        </w:rPr>
        <w:t>在全区定期开展化妆品安全“你送我检”活动，为市民免费检测化妆品中激素成分。让每一位消费者成为监督者，让经营者时刻感受到每位消费者都有可能送检的监督压力，倒逼生产经营源头自律，保障广大群众“面子皮肤的安全”。</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40" w:lineRule="exact"/>
        <w:ind w:firstLine="642"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三是加强宣传增强民众鉴别分辨能力。</w:t>
      </w:r>
      <w:r>
        <w:rPr>
          <w:rFonts w:hint="eastAsia" w:ascii="仿宋_GB2312" w:hAnsi="仿宋_GB2312" w:eastAsia="仿宋_GB2312" w:cs="仿宋_GB2312"/>
          <w:sz w:val="32"/>
          <w:szCs w:val="32"/>
        </w:rPr>
        <w:t>由卫生行政部门牵头，工商、市场监管部门和皮肤科专科医生等联合开展如“你送我检”、社区基层相关产品鉴别知识宣传和皮肤自我保护等相关活动以增强民众的鉴别分辨能力。</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40" w:lineRule="exact"/>
        <w:ind w:firstLine="642"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四是加大处罚力度。</w:t>
      </w:r>
      <w:r>
        <w:rPr>
          <w:rFonts w:hint="eastAsia" w:ascii="仿宋_GB2312" w:hAnsi="仿宋_GB2312" w:eastAsia="仿宋_GB2312" w:cs="仿宋_GB2312"/>
          <w:sz w:val="32"/>
          <w:szCs w:val="32"/>
        </w:rPr>
        <w:t>现有行政违规处罚对高利润的“消字号”药膏和化妆品生产企业来说，可以忽略不计，导致违法成本低，屡禁不止。此外，政府积极支持消费者维权，如同美国消费者对强生维权那样，支持受害消费者对违规企业追讨巨额赔偿，使企业保持自律。</w:t>
      </w:r>
    </w:p>
    <w:p>
      <w:pPr>
        <w:keepNext w:val="0"/>
        <w:keepLines w:val="0"/>
        <w:pageBreakBefore w:val="0"/>
        <w:numPr>
          <w:ilvl w:val="0"/>
          <w:numId w:val="0"/>
        </w:numPr>
        <w:kinsoku/>
        <w:wordWrap/>
        <w:overflowPunct/>
        <w:topLinePunct w:val="0"/>
        <w:autoSpaceDE/>
        <w:autoSpaceDN/>
        <w:bidi w:val="0"/>
        <w:adjustRightInd/>
        <w:snapToGrid/>
        <w:spacing w:beforeLines="0" w:beforeAutospacing="0" w:afterLines="0" w:afterAutospacing="0"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Lines="0" w:beforeAutospacing="0" w:afterLines="0" w:afterAutospacing="0" w:line="600" w:lineRule="exact"/>
        <w:textAlignment w:val="auto"/>
        <w:rPr>
          <w:rFonts w:hint="eastAsia" w:ascii="仿宋_GB2312" w:hAnsi="仿宋_GB2312" w:eastAsia="仿宋_GB2312" w:cs="仿宋_GB2312"/>
          <w:sz w:val="32"/>
          <w:szCs w:val="32"/>
          <w:lang w:val="en-US" w:eastAsia="zh-CN"/>
        </w:rPr>
      </w:pP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附件7：</w:t>
      </w:r>
    </w:p>
    <w:tbl>
      <w:tblPr>
        <w:tblStyle w:val="3"/>
        <w:tblW w:w="8658" w:type="dxa"/>
        <w:tblCellSpacing w:w="0" w:type="dxa"/>
        <w:tblInd w:w="10" w:type="dxa"/>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Layout w:type="fixed"/>
        <w:tblCellMar>
          <w:top w:w="0" w:type="dxa"/>
          <w:left w:w="0" w:type="dxa"/>
          <w:bottom w:w="0" w:type="dxa"/>
          <w:right w:w="0" w:type="dxa"/>
        </w:tblCellMar>
      </w:tblPr>
      <w:tblGrid>
        <w:gridCol w:w="8658"/>
      </w:tblGrid>
      <w:tr>
        <w:tblPrEx>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CellMar>
            <w:top w:w="0" w:type="dxa"/>
            <w:left w:w="0" w:type="dxa"/>
            <w:bottom w:w="0" w:type="dxa"/>
            <w:right w:w="0" w:type="dxa"/>
          </w:tblCellMar>
        </w:tblPrEx>
        <w:trPr>
          <w:tblCellSpacing w:w="0" w:type="dxa"/>
        </w:trPr>
        <w:tc>
          <w:tcPr>
            <w:tcW w:w="8658" w:type="dxa"/>
            <w:tcBorders>
              <w:top w:val="single" w:color="FFFFFF" w:sz="4" w:space="0"/>
              <w:left w:val="single" w:color="FFFFFF" w:sz="4" w:space="0"/>
              <w:bottom w:val="single" w:color="FFFFFF" w:sz="4" w:space="0"/>
              <w:right w:val="single" w:color="FFFFFF" w:sz="4" w:space="0"/>
            </w:tcBorders>
            <w:vAlign w:val="center"/>
          </w:tcPr>
          <w:p>
            <w:pPr>
              <w:keepNext w:val="0"/>
              <w:keepLines w:val="0"/>
              <w:widowControl/>
              <w:suppressLineNumbers w:val="0"/>
              <w:spacing w:beforeLines="0" w:afterLines="0" w:line="600" w:lineRule="exact"/>
              <w:jc w:val="center"/>
              <w:rPr>
                <w:rFonts w:ascii="宋体" w:hAnsi="宋体" w:eastAsia="宋体" w:cs="宋体"/>
                <w:sz w:val="34"/>
                <w:szCs w:val="34"/>
              </w:rPr>
            </w:pPr>
            <w:r>
              <w:rPr>
                <w:rFonts w:ascii="宋体" w:hAnsi="宋体" w:eastAsia="宋体" w:cs="宋体"/>
                <w:sz w:val="34"/>
                <w:szCs w:val="34"/>
              </w:rPr>
              <w:t>宁夏回族自治区政协</w:t>
            </w:r>
          </w:p>
        </w:tc>
      </w:tr>
      <w:tr>
        <w:tblPrEx>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CellMar>
            <w:top w:w="0" w:type="dxa"/>
            <w:left w:w="0" w:type="dxa"/>
            <w:bottom w:w="0" w:type="dxa"/>
            <w:right w:w="0" w:type="dxa"/>
          </w:tblCellMar>
        </w:tblPrEx>
        <w:trPr>
          <w:tblCellSpacing w:w="0" w:type="dxa"/>
        </w:trPr>
        <w:tc>
          <w:tcPr>
            <w:tcW w:w="8658" w:type="dxa"/>
            <w:tcBorders>
              <w:top w:val="single" w:color="FFFFFF" w:sz="4" w:space="0"/>
              <w:left w:val="single" w:color="FFFFFF" w:sz="4" w:space="0"/>
              <w:bottom w:val="single" w:color="FFFFFF" w:sz="4" w:space="0"/>
              <w:right w:val="single" w:color="FFFFFF" w:sz="4" w:space="0"/>
            </w:tcBorders>
            <w:vAlign w:val="center"/>
          </w:tcPr>
          <w:p>
            <w:pPr>
              <w:keepNext w:val="0"/>
              <w:keepLines w:val="0"/>
              <w:widowControl/>
              <w:suppressLineNumbers w:val="0"/>
              <w:spacing w:beforeLines="0" w:afterLines="0" w:line="600" w:lineRule="exact"/>
              <w:jc w:val="center"/>
              <w:rPr>
                <w:rFonts w:ascii="宋体" w:hAnsi="宋体" w:eastAsia="宋体" w:cs="宋体"/>
                <w:sz w:val="34"/>
                <w:szCs w:val="34"/>
              </w:rPr>
            </w:pPr>
            <w:r>
              <w:rPr>
                <w:rFonts w:ascii="宋体" w:hAnsi="宋体" w:eastAsia="宋体" w:cs="宋体"/>
                <w:sz w:val="34"/>
                <w:szCs w:val="34"/>
              </w:rPr>
              <w:t>十一届三次会议第269号提案</w:t>
            </w:r>
          </w:p>
        </w:tc>
      </w:tr>
      <w:tr>
        <w:tblPrEx>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CellMar>
            <w:top w:w="0" w:type="dxa"/>
            <w:left w:w="0" w:type="dxa"/>
            <w:bottom w:w="0" w:type="dxa"/>
            <w:right w:w="0" w:type="dxa"/>
          </w:tblCellMar>
        </w:tblPrEx>
        <w:trPr>
          <w:tblCellSpacing w:w="0" w:type="dxa"/>
        </w:trPr>
        <w:tc>
          <w:tcPr>
            <w:tcW w:w="8658" w:type="dxa"/>
            <w:tcBorders>
              <w:top w:val="single" w:color="FFFFFF" w:sz="4" w:space="0"/>
              <w:left w:val="single" w:color="FFFFFF" w:sz="4" w:space="0"/>
              <w:bottom w:val="single" w:color="FFFFFF" w:sz="4" w:space="0"/>
              <w:right w:val="single" w:color="FFFFFF" w:sz="4" w:space="0"/>
            </w:tcBorders>
            <w:vAlign w:val="center"/>
          </w:tcPr>
          <w:p>
            <w:pPr>
              <w:keepNext w:val="0"/>
              <w:keepLines w:val="0"/>
              <w:widowControl/>
              <w:suppressLineNumbers w:val="0"/>
              <w:spacing w:beforeLines="0" w:afterLines="0" w:line="600" w:lineRule="exact"/>
              <w:jc w:val="center"/>
              <w:rPr>
                <w:rFonts w:ascii="宋体" w:hAnsi="宋体" w:eastAsia="宋体" w:cs="宋体"/>
                <w:sz w:val="34"/>
                <w:szCs w:val="34"/>
              </w:rPr>
            </w:pPr>
            <w:r>
              <w:rPr>
                <w:rFonts w:ascii="宋体" w:hAnsi="宋体" w:eastAsia="宋体" w:cs="宋体"/>
                <w:sz w:val="34"/>
                <w:szCs w:val="34"/>
              </w:rPr>
              <w:t> </w:t>
            </w:r>
          </w:p>
        </w:tc>
      </w:tr>
    </w:tbl>
    <w:p>
      <w:pPr>
        <w:spacing w:beforeLines="0" w:afterLines="0" w:line="600" w:lineRule="exact"/>
        <w:rPr>
          <w:vanish/>
          <w:sz w:val="24"/>
          <w:szCs w:val="24"/>
        </w:rPr>
      </w:pPr>
    </w:p>
    <w:tbl>
      <w:tblPr>
        <w:tblStyle w:val="3"/>
        <w:tblW w:w="8349" w:type="dxa"/>
        <w:jc w:val="center"/>
        <w:tblCellSpacing w:w="0" w:type="dxa"/>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Layout w:type="fixed"/>
        <w:tblCellMar>
          <w:top w:w="0" w:type="dxa"/>
          <w:left w:w="0" w:type="dxa"/>
          <w:bottom w:w="0" w:type="dxa"/>
          <w:right w:w="0" w:type="dxa"/>
        </w:tblCellMar>
      </w:tblPr>
      <w:tblGrid>
        <w:gridCol w:w="1680"/>
        <w:gridCol w:w="1680"/>
        <w:gridCol w:w="1680"/>
        <w:gridCol w:w="3309"/>
      </w:tblGrid>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blCellSpacing w:w="0" w:type="dxa"/>
          <w:jc w:val="center"/>
        </w:trPr>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提案类型</w:t>
            </w:r>
          </w:p>
        </w:tc>
        <w:tc>
          <w:tcPr>
            <w:tcW w:w="6669" w:type="dxa"/>
            <w:gridSpan w:val="3"/>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ascii="宋体" w:hAnsi="宋体" w:eastAsia="宋体" w:cs="宋体"/>
                <w:sz w:val="25"/>
                <w:szCs w:val="25"/>
              </w:rPr>
            </w:pPr>
            <w:r>
              <w:rPr>
                <w:rFonts w:ascii="宋体" w:hAnsi="宋体" w:eastAsia="宋体" w:cs="宋体"/>
                <w:sz w:val="25"/>
                <w:szCs w:val="25"/>
              </w:rPr>
              <w:t>个人提案</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blCellSpacing w:w="0" w:type="dxa"/>
          <w:jc w:val="center"/>
        </w:trPr>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案 由</w:t>
            </w:r>
          </w:p>
        </w:tc>
        <w:tc>
          <w:tcPr>
            <w:tcW w:w="6669" w:type="dxa"/>
            <w:gridSpan w:val="3"/>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ascii="宋体" w:hAnsi="宋体" w:eastAsia="宋体" w:cs="宋体"/>
                <w:sz w:val="25"/>
                <w:szCs w:val="25"/>
              </w:rPr>
            </w:pPr>
            <w:r>
              <w:rPr>
                <w:rFonts w:ascii="宋体" w:hAnsi="宋体" w:eastAsia="宋体" w:cs="宋体"/>
                <w:sz w:val="25"/>
                <w:szCs w:val="25"/>
              </w:rPr>
              <w:t>关于加强对含兴奋剂药品经营监管的提案</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blCellSpacing w:w="0" w:type="dxa"/>
          <w:jc w:val="center"/>
        </w:trPr>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第一提案人</w:t>
            </w:r>
          </w:p>
        </w:tc>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ascii="宋体" w:hAnsi="宋体" w:eastAsia="宋体" w:cs="宋体"/>
                <w:sz w:val="25"/>
                <w:szCs w:val="25"/>
              </w:rPr>
            </w:pPr>
            <w:r>
              <w:rPr>
                <w:rFonts w:ascii="宋体" w:hAnsi="宋体" w:eastAsia="宋体" w:cs="宋体"/>
                <w:sz w:val="25"/>
                <w:szCs w:val="25"/>
              </w:rPr>
              <w:t>马玉</w:t>
            </w:r>
          </w:p>
        </w:tc>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联系电话</w:t>
            </w:r>
          </w:p>
        </w:tc>
        <w:tc>
          <w:tcPr>
            <w:tcW w:w="3309"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ascii="宋体" w:hAnsi="宋体" w:eastAsia="宋体" w:cs="宋体"/>
                <w:sz w:val="25"/>
                <w:szCs w:val="25"/>
              </w:rPr>
            </w:pPr>
            <w:r>
              <w:rPr>
                <w:rFonts w:ascii="宋体" w:hAnsi="宋体" w:eastAsia="宋体" w:cs="宋体"/>
                <w:sz w:val="25"/>
                <w:szCs w:val="25"/>
              </w:rPr>
              <w:t>18995290292</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PrEx>
        <w:trPr>
          <w:tblCellSpacing w:w="0" w:type="dxa"/>
          <w:jc w:val="center"/>
        </w:trPr>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提案日期</w:t>
            </w:r>
          </w:p>
        </w:tc>
        <w:tc>
          <w:tcPr>
            <w:tcW w:w="6669" w:type="dxa"/>
            <w:gridSpan w:val="3"/>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ascii="宋体" w:hAnsi="宋体" w:eastAsia="宋体" w:cs="宋体"/>
                <w:sz w:val="25"/>
                <w:szCs w:val="25"/>
              </w:rPr>
            </w:pPr>
            <w:r>
              <w:rPr>
                <w:rFonts w:ascii="宋体" w:hAnsi="宋体" w:eastAsia="宋体" w:cs="宋体"/>
                <w:sz w:val="25"/>
                <w:szCs w:val="25"/>
              </w:rPr>
              <w:t>2020-01-09</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blCellSpacing w:w="0" w:type="dxa"/>
          <w:jc w:val="center"/>
        </w:trPr>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希望承办单</w:t>
            </w:r>
            <w:r>
              <w:rPr>
                <w:rFonts w:ascii="宋体" w:hAnsi="宋体" w:eastAsia="宋体" w:cs="宋体"/>
                <w:sz w:val="25"/>
                <w:szCs w:val="25"/>
              </w:rPr>
              <w:br w:type="textWrapping"/>
            </w:r>
            <w:r>
              <w:rPr>
                <w:rFonts w:ascii="宋体" w:hAnsi="宋体" w:eastAsia="宋体" w:cs="宋体"/>
                <w:sz w:val="25"/>
                <w:szCs w:val="25"/>
              </w:rPr>
              <w:t>位(参考)</w:t>
            </w:r>
          </w:p>
        </w:tc>
        <w:tc>
          <w:tcPr>
            <w:tcW w:w="6669" w:type="dxa"/>
            <w:gridSpan w:val="3"/>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ascii="宋体" w:hAnsi="宋体" w:eastAsia="宋体" w:cs="宋体"/>
                <w:sz w:val="25"/>
                <w:szCs w:val="25"/>
              </w:rPr>
            </w:pPr>
            <w:r>
              <w:rPr>
                <w:rFonts w:ascii="宋体" w:hAnsi="宋体" w:eastAsia="宋体" w:cs="宋体"/>
                <w:sz w:val="25"/>
                <w:szCs w:val="25"/>
              </w:rPr>
              <w:t>市场监管厅</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blCellSpacing w:w="0" w:type="dxa"/>
          <w:jc w:val="center"/>
        </w:trPr>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主办单位</w:t>
            </w:r>
          </w:p>
        </w:tc>
        <w:tc>
          <w:tcPr>
            <w:tcW w:w="6669" w:type="dxa"/>
            <w:gridSpan w:val="3"/>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hint="eastAsia" w:ascii="宋体" w:hAnsi="宋体" w:eastAsia="宋体" w:cs="宋体"/>
                <w:sz w:val="25"/>
                <w:szCs w:val="25"/>
                <w:lang w:eastAsia="zh-CN"/>
              </w:rPr>
            </w:pPr>
            <w:r>
              <w:rPr>
                <w:rFonts w:ascii="宋体" w:hAnsi="宋体" w:eastAsia="宋体" w:cs="宋体"/>
                <w:sz w:val="25"/>
                <w:szCs w:val="25"/>
              </w:rPr>
              <w:t>市场监管厅</w:t>
            </w:r>
            <w:r>
              <w:rPr>
                <w:rFonts w:hint="eastAsia" w:ascii="宋体" w:hAnsi="宋体" w:eastAsia="宋体" w:cs="宋体"/>
                <w:sz w:val="25"/>
                <w:szCs w:val="25"/>
                <w:lang w:eastAsia="zh-CN"/>
              </w:rPr>
              <w:t>（自治区药品监管局）</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blCellSpacing w:w="0" w:type="dxa"/>
          <w:jc w:val="center"/>
        </w:trPr>
        <w:tc>
          <w:tcPr>
            <w:tcW w:w="16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宋体" w:hAnsi="宋体" w:eastAsia="宋体" w:cs="宋体"/>
                <w:sz w:val="25"/>
                <w:szCs w:val="25"/>
              </w:rPr>
            </w:pPr>
            <w:r>
              <w:rPr>
                <w:rFonts w:ascii="宋体" w:hAnsi="宋体" w:eastAsia="宋体" w:cs="宋体"/>
                <w:sz w:val="25"/>
                <w:szCs w:val="25"/>
              </w:rPr>
              <w:t>协办单位</w:t>
            </w:r>
          </w:p>
        </w:tc>
        <w:tc>
          <w:tcPr>
            <w:tcW w:w="6669" w:type="dxa"/>
            <w:gridSpan w:val="3"/>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left"/>
              <w:rPr>
                <w:rFonts w:ascii="宋体" w:hAnsi="宋体" w:eastAsia="宋体" w:cs="宋体"/>
                <w:sz w:val="25"/>
                <w:szCs w:val="25"/>
              </w:rPr>
            </w:pPr>
            <w:r>
              <w:rPr>
                <w:rFonts w:ascii="宋体" w:hAnsi="宋体" w:eastAsia="宋体" w:cs="宋体"/>
                <w:sz w:val="25"/>
                <w:szCs w:val="25"/>
              </w:rPr>
              <w:t>体育局</w:t>
            </w:r>
          </w:p>
        </w:tc>
      </w:tr>
    </w:tbl>
    <w:p>
      <w:pPr>
        <w:numPr>
          <w:ilvl w:val="0"/>
          <w:numId w:val="0"/>
        </w:numPr>
        <w:spacing w:beforeLines="0" w:afterLines="0" w:line="600" w:lineRule="exact"/>
        <w:rPr>
          <w:rFonts w:hint="default" w:ascii="仿宋_GB2312" w:hAnsi="仿宋_GB2312" w:eastAsia="仿宋_GB2312" w:cs="仿宋_GB2312"/>
          <w:sz w:val="32"/>
          <w:szCs w:val="32"/>
          <w:lang w:val="en-US" w:eastAsia="zh-CN"/>
        </w:rPr>
      </w:pPr>
      <w:r>
        <w:rPr>
          <w:rFonts w:ascii="宋体" w:hAnsi="宋体" w:eastAsia="宋体" w:cs="宋体"/>
          <w:sz w:val="24"/>
          <w:szCs w:val="24"/>
          <w:lang w:val="en-US"/>
        </w:rPr>
        <w:br w:type="page"/>
      </w:r>
    </w:p>
    <w:tbl>
      <w:tblPr>
        <w:tblStyle w:val="3"/>
        <w:tblW w:w="9076" w:type="dxa"/>
        <w:tblCellSpacing w:w="0" w:type="dxa"/>
        <w:tblInd w:w="10" w:type="dxa"/>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Layout w:type="fixed"/>
        <w:tblCellMar>
          <w:top w:w="0" w:type="dxa"/>
          <w:left w:w="0" w:type="dxa"/>
          <w:bottom w:w="0" w:type="dxa"/>
          <w:right w:w="0" w:type="dxa"/>
        </w:tblCellMar>
      </w:tblPr>
      <w:tblGrid>
        <w:gridCol w:w="2280"/>
        <w:gridCol w:w="6796"/>
      </w:tblGrid>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blCellSpacing w:w="0" w:type="dxa"/>
        </w:trPr>
        <w:tc>
          <w:tcPr>
            <w:tcW w:w="2280"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黑体" w:hAnsi="宋体" w:eastAsia="黑体" w:cs="黑体"/>
                <w:sz w:val="25"/>
                <w:szCs w:val="25"/>
              </w:rPr>
            </w:pPr>
            <w:r>
              <w:rPr>
                <w:rFonts w:ascii="黑体" w:hAnsi="宋体" w:eastAsia="黑体" w:cs="黑体"/>
                <w:sz w:val="25"/>
                <w:szCs w:val="25"/>
              </w:rPr>
              <w:t>意见建议</w:t>
            </w:r>
          </w:p>
        </w:tc>
        <w:tc>
          <w:tcPr>
            <w:tcW w:w="6796" w:type="dxa"/>
            <w:tcBorders>
              <w:tl2br w:val="nil"/>
              <w:tr2bl w:val="nil"/>
            </w:tcBorders>
            <w:tcMar>
              <w:top w:w="120" w:type="dxa"/>
              <w:bottom w:w="120" w:type="dxa"/>
            </w:tcMar>
            <w:vAlign w:val="center"/>
          </w:tcPr>
          <w:p>
            <w:pPr>
              <w:keepNext w:val="0"/>
              <w:keepLines w:val="0"/>
              <w:widowControl/>
              <w:suppressLineNumbers w:val="0"/>
              <w:spacing w:beforeLines="0" w:afterLines="0" w:line="600" w:lineRule="exact"/>
              <w:jc w:val="center"/>
              <w:rPr>
                <w:rFonts w:ascii="黑体" w:hAnsi="宋体" w:eastAsia="黑体" w:cs="黑体"/>
                <w:sz w:val="25"/>
                <w:szCs w:val="25"/>
              </w:rPr>
            </w:pPr>
            <w:r>
              <w:rPr>
                <w:rFonts w:ascii="黑体" w:hAnsi="宋体" w:eastAsia="黑体" w:cs="黑体"/>
                <w:sz w:val="25"/>
                <w:szCs w:val="25"/>
              </w:rPr>
              <w:t>说明</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blCellSpacing w:w="0" w:type="dxa"/>
        </w:trPr>
        <w:tc>
          <w:tcPr>
            <w:tcW w:w="2280" w:type="dxa"/>
            <w:tcBorders>
              <w:tl2br w:val="nil"/>
              <w:tr2bl w:val="nil"/>
            </w:tcBorders>
            <w:tcMar>
              <w:top w:w="120" w:type="dxa"/>
              <w:bottom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600" w:lineRule="exact"/>
              <w:jc w:val="left"/>
              <w:textAlignment w:val="auto"/>
              <w:rPr>
                <w:rFonts w:ascii="宋体" w:hAnsi="宋体" w:eastAsia="宋体" w:cs="宋体"/>
                <w:sz w:val="25"/>
                <w:szCs w:val="25"/>
              </w:rPr>
            </w:pPr>
            <w:r>
              <w:rPr>
                <w:rFonts w:ascii="宋体" w:hAnsi="宋体" w:eastAsia="宋体" w:cs="宋体"/>
                <w:sz w:val="25"/>
                <w:szCs w:val="25"/>
              </w:rPr>
              <w:t>一是食品药品监管部门完善对含兴奋剂药品经营监管制度</w:t>
            </w:r>
          </w:p>
        </w:tc>
        <w:tc>
          <w:tcPr>
            <w:tcW w:w="6796" w:type="dxa"/>
            <w:tcBorders>
              <w:tl2br w:val="nil"/>
              <w:tr2bl w:val="nil"/>
            </w:tcBorders>
            <w:tcMar>
              <w:top w:w="120" w:type="dxa"/>
              <w:bottom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600" w:lineRule="exact"/>
              <w:jc w:val="left"/>
              <w:textAlignment w:val="auto"/>
              <w:rPr>
                <w:rFonts w:ascii="宋体" w:hAnsi="宋体" w:eastAsia="宋体" w:cs="宋体"/>
                <w:sz w:val="25"/>
                <w:szCs w:val="25"/>
              </w:rPr>
            </w:pPr>
            <w:r>
              <w:rPr>
                <w:rFonts w:ascii="宋体" w:hAnsi="宋体" w:eastAsia="宋体" w:cs="宋体"/>
                <w:sz w:val="25"/>
                <w:szCs w:val="25"/>
              </w:rPr>
              <w:t xml:space="preserve">明确监管责任并落实到人，排除监管盲区，确保兴奋剂管理不留死角，同时监管部门要及时掌握每年国际反兴奋剂机构更新的《禁用清单》及其变化，并下发所属药品经营机构； </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blCellSpacing w:w="0" w:type="dxa"/>
        </w:trPr>
        <w:tc>
          <w:tcPr>
            <w:tcW w:w="2280" w:type="dxa"/>
            <w:tcBorders>
              <w:tl2br w:val="nil"/>
              <w:tr2bl w:val="nil"/>
            </w:tcBorders>
            <w:tcMar>
              <w:top w:w="120" w:type="dxa"/>
              <w:bottom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600" w:lineRule="exact"/>
              <w:jc w:val="left"/>
              <w:textAlignment w:val="auto"/>
              <w:rPr>
                <w:rFonts w:ascii="宋体" w:hAnsi="宋体" w:eastAsia="宋体" w:cs="宋体"/>
                <w:sz w:val="25"/>
                <w:szCs w:val="25"/>
              </w:rPr>
            </w:pPr>
            <w:r>
              <w:rPr>
                <w:rFonts w:ascii="宋体" w:hAnsi="宋体" w:eastAsia="宋体" w:cs="宋体"/>
                <w:sz w:val="25"/>
                <w:szCs w:val="25"/>
              </w:rPr>
              <w:t>二是药品经营机构明确对含兴奋剂药品管理</w:t>
            </w:r>
          </w:p>
        </w:tc>
        <w:tc>
          <w:tcPr>
            <w:tcW w:w="6796" w:type="dxa"/>
            <w:tcBorders>
              <w:tl2br w:val="nil"/>
              <w:tr2bl w:val="nil"/>
            </w:tcBorders>
            <w:tcMar>
              <w:top w:w="120" w:type="dxa"/>
              <w:bottom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600" w:lineRule="exact"/>
              <w:jc w:val="left"/>
              <w:textAlignment w:val="auto"/>
              <w:rPr>
                <w:rFonts w:ascii="宋体" w:hAnsi="宋体" w:eastAsia="宋体" w:cs="宋体"/>
                <w:sz w:val="25"/>
                <w:szCs w:val="25"/>
              </w:rPr>
            </w:pPr>
            <w:r>
              <w:rPr>
                <w:rFonts w:ascii="宋体" w:hAnsi="宋体" w:eastAsia="宋体" w:cs="宋体"/>
                <w:sz w:val="25"/>
                <w:szCs w:val="25"/>
              </w:rPr>
              <w:t>严格执行凭处方销售胰岛素和含兴奋剂药品，并保留原处方备查；实行含兴奋剂药品严格分区管理并明确标示“运动员慎用”；</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blCellSpacing w:w="0" w:type="dxa"/>
        </w:trPr>
        <w:tc>
          <w:tcPr>
            <w:tcW w:w="2280" w:type="dxa"/>
            <w:tcBorders>
              <w:tl2br w:val="nil"/>
              <w:tr2bl w:val="nil"/>
            </w:tcBorders>
            <w:tcMar>
              <w:top w:w="120" w:type="dxa"/>
              <w:bottom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600" w:lineRule="exact"/>
              <w:jc w:val="left"/>
              <w:textAlignment w:val="auto"/>
              <w:rPr>
                <w:rFonts w:ascii="宋体" w:hAnsi="宋体" w:eastAsia="宋体" w:cs="宋体"/>
                <w:sz w:val="25"/>
                <w:szCs w:val="25"/>
              </w:rPr>
            </w:pPr>
            <w:r>
              <w:rPr>
                <w:rFonts w:ascii="宋体" w:hAnsi="宋体" w:eastAsia="宋体" w:cs="宋体"/>
                <w:sz w:val="25"/>
                <w:szCs w:val="25"/>
              </w:rPr>
              <w:t>三是开展兴奋剂专项治理工作</w:t>
            </w:r>
          </w:p>
        </w:tc>
        <w:tc>
          <w:tcPr>
            <w:tcW w:w="6796" w:type="dxa"/>
            <w:tcBorders>
              <w:tl2br w:val="nil"/>
              <w:tr2bl w:val="nil"/>
            </w:tcBorders>
            <w:tcMar>
              <w:top w:w="120" w:type="dxa"/>
              <w:bottom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600" w:lineRule="exact"/>
              <w:jc w:val="left"/>
              <w:textAlignment w:val="auto"/>
              <w:rPr>
                <w:rFonts w:ascii="宋体" w:hAnsi="宋体" w:eastAsia="宋体" w:cs="宋体"/>
                <w:sz w:val="25"/>
                <w:szCs w:val="25"/>
              </w:rPr>
            </w:pPr>
            <w:r>
              <w:rPr>
                <w:rFonts w:ascii="宋体" w:hAnsi="宋体" w:eastAsia="宋体" w:cs="宋体"/>
                <w:sz w:val="25"/>
                <w:szCs w:val="25"/>
              </w:rPr>
              <w:t>尤其加强对蛋白同化制剂及肽类激素的生产、经营全链条监控，不断加大监督、检查力度；</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blCellSpacing w:w="0" w:type="dxa"/>
        </w:trPr>
        <w:tc>
          <w:tcPr>
            <w:tcW w:w="2280" w:type="dxa"/>
            <w:tcBorders>
              <w:tl2br w:val="nil"/>
              <w:tr2bl w:val="nil"/>
            </w:tcBorders>
            <w:tcMar>
              <w:top w:w="120" w:type="dxa"/>
              <w:bottom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600" w:lineRule="exact"/>
              <w:jc w:val="left"/>
              <w:textAlignment w:val="auto"/>
              <w:rPr>
                <w:rFonts w:ascii="宋体" w:hAnsi="宋体" w:eastAsia="宋体" w:cs="宋体"/>
                <w:sz w:val="25"/>
                <w:szCs w:val="25"/>
              </w:rPr>
            </w:pPr>
            <w:r>
              <w:rPr>
                <w:rFonts w:ascii="宋体" w:hAnsi="宋体" w:eastAsia="宋体" w:cs="宋体"/>
                <w:sz w:val="25"/>
                <w:szCs w:val="25"/>
              </w:rPr>
              <w:t>四是加强对药品经营人员的反兴奋剂宣传教育</w:t>
            </w:r>
          </w:p>
        </w:tc>
        <w:tc>
          <w:tcPr>
            <w:tcW w:w="6796" w:type="dxa"/>
            <w:tcBorders>
              <w:tl2br w:val="nil"/>
              <w:tr2bl w:val="nil"/>
            </w:tcBorders>
            <w:tcMar>
              <w:top w:w="120" w:type="dxa"/>
              <w:bottom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600" w:lineRule="exact"/>
              <w:jc w:val="left"/>
              <w:textAlignment w:val="auto"/>
              <w:rPr>
                <w:rFonts w:ascii="宋体" w:hAnsi="宋体" w:eastAsia="宋体" w:cs="宋体"/>
                <w:sz w:val="25"/>
                <w:szCs w:val="25"/>
              </w:rPr>
            </w:pPr>
            <w:r>
              <w:rPr>
                <w:rFonts w:ascii="宋体" w:hAnsi="宋体" w:eastAsia="宋体" w:cs="宋体"/>
                <w:sz w:val="25"/>
                <w:szCs w:val="25"/>
              </w:rPr>
              <w:t>通过宣教让药品经营从业人员逐步认识兴奋剂，并树立一定的反兴奋剂意识。</w:t>
            </w:r>
          </w:p>
        </w:tc>
      </w:tr>
      <w:tr>
        <w:tblPrEx>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CellMar>
            <w:top w:w="0" w:type="dxa"/>
            <w:left w:w="0" w:type="dxa"/>
            <w:bottom w:w="0" w:type="dxa"/>
            <w:right w:w="0" w:type="dxa"/>
          </w:tblCellMar>
        </w:tblPrEx>
        <w:trPr>
          <w:tblCellSpacing w:w="0" w:type="dxa"/>
        </w:trPr>
        <w:tc>
          <w:tcPr>
            <w:tcW w:w="2280" w:type="dxa"/>
            <w:tcBorders>
              <w:tl2br w:val="nil"/>
              <w:tr2bl w:val="nil"/>
            </w:tcBorders>
            <w:tcMar>
              <w:top w:w="120" w:type="dxa"/>
              <w:bottom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600" w:lineRule="exact"/>
              <w:jc w:val="center"/>
              <w:textAlignment w:val="auto"/>
              <w:rPr>
                <w:rFonts w:ascii="宋体" w:hAnsi="宋体" w:eastAsia="宋体" w:cs="宋体"/>
                <w:sz w:val="25"/>
                <w:szCs w:val="25"/>
              </w:rPr>
            </w:pPr>
            <w:r>
              <w:rPr>
                <w:rFonts w:ascii="宋体" w:hAnsi="宋体" w:eastAsia="宋体" w:cs="宋体"/>
                <w:sz w:val="25"/>
                <w:szCs w:val="25"/>
              </w:rPr>
              <w:t>背</w:t>
            </w:r>
            <w:r>
              <w:rPr>
                <w:rFonts w:ascii="宋体" w:hAnsi="宋体" w:eastAsia="宋体" w:cs="宋体"/>
                <w:sz w:val="25"/>
                <w:szCs w:val="25"/>
              </w:rPr>
              <w:br w:type="textWrapping"/>
            </w:r>
            <w:r>
              <w:rPr>
                <w:rFonts w:ascii="宋体" w:hAnsi="宋体" w:eastAsia="宋体" w:cs="宋体"/>
                <w:sz w:val="25"/>
                <w:szCs w:val="25"/>
              </w:rPr>
              <w:t>景</w:t>
            </w:r>
            <w:r>
              <w:rPr>
                <w:rFonts w:ascii="宋体" w:hAnsi="宋体" w:eastAsia="宋体" w:cs="宋体"/>
                <w:sz w:val="25"/>
                <w:szCs w:val="25"/>
              </w:rPr>
              <w:br w:type="textWrapping"/>
            </w:r>
            <w:r>
              <w:rPr>
                <w:rFonts w:ascii="宋体" w:hAnsi="宋体" w:eastAsia="宋体" w:cs="宋体"/>
                <w:sz w:val="25"/>
                <w:szCs w:val="25"/>
              </w:rPr>
              <w:t>材</w:t>
            </w:r>
            <w:r>
              <w:rPr>
                <w:rFonts w:ascii="宋体" w:hAnsi="宋体" w:eastAsia="宋体" w:cs="宋体"/>
                <w:sz w:val="25"/>
                <w:szCs w:val="25"/>
              </w:rPr>
              <w:br w:type="textWrapping"/>
            </w:r>
            <w:r>
              <w:rPr>
                <w:rFonts w:ascii="宋体" w:hAnsi="宋体" w:eastAsia="宋体" w:cs="宋体"/>
                <w:sz w:val="25"/>
                <w:szCs w:val="25"/>
              </w:rPr>
              <w:t>料</w:t>
            </w:r>
          </w:p>
        </w:tc>
        <w:tc>
          <w:tcPr>
            <w:tcW w:w="6796" w:type="dxa"/>
            <w:tcBorders>
              <w:tl2br w:val="nil"/>
              <w:tr2bl w:val="nil"/>
            </w:tcBorders>
            <w:tcMar>
              <w:top w:w="120" w:type="dxa"/>
              <w:bottom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500" w:firstLineChars="200"/>
              <w:jc w:val="left"/>
              <w:textAlignment w:val="auto"/>
              <w:rPr>
                <w:rFonts w:ascii="宋体" w:hAnsi="宋体" w:eastAsia="宋体" w:cs="宋体"/>
                <w:sz w:val="25"/>
                <w:szCs w:val="25"/>
              </w:rPr>
            </w:pPr>
            <w:r>
              <w:rPr>
                <w:rFonts w:ascii="宋体" w:hAnsi="宋体" w:eastAsia="宋体" w:cs="宋体"/>
                <w:sz w:val="25"/>
                <w:szCs w:val="25"/>
              </w:rPr>
              <w:t>兴奋剂是指世界反兴奋剂机构每年公布的一份在体育运动中禁止使用的物质和方法清单（《经验清单国际标准》，简称《禁用清单》）中所列所有物质和方法，兴奋剂问题有损国家形象、有损运动员身心健康、破坏科学训练及公平公正的竞赛环境。习近平总书记对兴奋剂问题高度重视，自2017年以来对体育和反兴奋剂工作先后做了六次重要指示批示，特别强调中国运动员哪怕不拿竞技场上的金牌，也要拿一个奥林匹克精神的金牌，拿一个遵纪守法的金牌，拿一个干净的金牌，2019年11月8日，最高人民法院公布《关于审理走私、非法经营、非法使用兴奋剂刑事案件适用法律若干问题的司法解释》，2020年1月起开始实施。《兴奋剂刑事案件司法解释》不仅涉及了体育竞赛，还覆盖了体育考试及公务员招考体能测试，它的出台一方面为反兴奋剂工作提供了法律保障，同时对兴奋剂的源头治理、保障运动员及公众身心健康、维护纯洁的竞赛环境、提高对体育从业者震慑力等方面都具有重要意义，对兴奋剂“从严”的政策导向更是凸显了国家对兴奋剂问题的“零容忍”态度。目前我区在含兴奋剂药品经营管理方面存在一些问题，直接影响到我区兴奋剂问题的源头治理效果及纯洁体育的维护，一是食品药品监管部门对含兴奋剂药品经营监管制度不完善；二是药品经营机构未对含兴奋剂药品进行区分管理及明确标示；三是对蛋白同化制剂和肽类激素等严格禁用的药品经营缺乏全监控管理；四是药品经营从业人员兴奋剂相关知识匮乏。</w:t>
            </w:r>
          </w:p>
        </w:tc>
      </w:tr>
    </w:tbl>
    <w:p>
      <w:pPr>
        <w:keepNext w:val="0"/>
        <w:keepLines w:val="0"/>
        <w:pageBreakBefore w:val="0"/>
        <w:numPr>
          <w:ilvl w:val="0"/>
          <w:numId w:val="0"/>
        </w:numPr>
        <w:kinsoku/>
        <w:wordWrap/>
        <w:overflowPunct/>
        <w:topLinePunct w:val="0"/>
        <w:autoSpaceDE/>
        <w:autoSpaceDN/>
        <w:bidi w:val="0"/>
        <w:adjustRightInd/>
        <w:snapToGrid/>
        <w:spacing w:beforeLines="0" w:beforeAutospacing="0" w:afterLines="0" w:afterAutospacing="0" w:line="600" w:lineRule="exact"/>
        <w:textAlignment w:val="auto"/>
        <w:rPr>
          <w:rFonts w:hint="default" w:ascii="仿宋_GB2312" w:hAnsi="仿宋_GB2312" w:eastAsia="仿宋_GB2312" w:cs="仿宋_GB2312"/>
          <w:sz w:val="32"/>
          <w:szCs w:val="32"/>
          <w:lang w:val="en-US" w:eastAsia="zh-CN"/>
        </w:rPr>
      </w:pPr>
    </w:p>
    <w:p>
      <w:pPr>
        <w:numPr>
          <w:ilvl w:val="0"/>
          <w:numId w:val="0"/>
        </w:numPr>
        <w:spacing w:beforeLines="0" w:afterLines="0" w:line="600" w:lineRule="exact"/>
        <w:rPr>
          <w:rFonts w:hint="default" w:ascii="仿宋_GB2312" w:hAnsi="仿宋_GB2312" w:eastAsia="仿宋_GB2312" w:cs="仿宋_GB2312"/>
          <w:sz w:val="32"/>
          <w:szCs w:val="32"/>
          <w:lang w:val="en-US" w:eastAsia="zh-CN"/>
        </w:rPr>
      </w:pPr>
    </w:p>
    <w:p>
      <w:pPr>
        <w:numPr>
          <w:ilvl w:val="0"/>
          <w:numId w:val="0"/>
        </w:numPr>
        <w:spacing w:beforeLines="0" w:afterLines="0" w:line="600" w:lineRule="exact"/>
        <w:rPr>
          <w:rFonts w:hint="default" w:ascii="仿宋_GB2312" w:hAnsi="仿宋_GB2312" w:eastAsia="仿宋_GB2312" w:cs="仿宋_GB2312"/>
          <w:sz w:val="32"/>
          <w:szCs w:val="32"/>
          <w:lang w:val="en-US" w:eastAsia="zh-CN"/>
        </w:rPr>
      </w:pP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附件8：</w:t>
      </w: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"C:\\Users\\文档\\AppData\\Roaming\\Tencent\\Users\\2589605063\\QQ\\WinTemp\\RichOle\\LH~@P@WO~FK]04W@43@FPYK.png"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5524500" cy="6581775"/>
            <wp:effectExtent l="0" t="0" r="0" b="9525"/>
            <wp:docPr id="4"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true"/>
                    </pic:cNvPicPr>
                  </pic:nvPicPr>
                  <pic:blipFill>
                    <a:blip r:embed="rId4"/>
                    <a:stretch>
                      <a:fillRect/>
                    </a:stretch>
                  </pic:blipFill>
                  <pic:spPr>
                    <a:xfrm>
                      <a:off x="0" y="0"/>
                      <a:ext cx="5524500" cy="6581775"/>
                    </a:xfrm>
                    <a:prstGeom prst="rect">
                      <a:avLst/>
                    </a:prstGeom>
                    <a:noFill/>
                    <a:ln w="9525">
                      <a:noFill/>
                    </a:ln>
                  </pic:spPr>
                </pic:pic>
              </a:graphicData>
            </a:graphic>
          </wp:inline>
        </w:drawing>
      </w:r>
      <w:r>
        <w:rPr>
          <w:rFonts w:ascii="宋体" w:hAnsi="宋体" w:eastAsia="宋体" w:cs="宋体"/>
          <w:kern w:val="0"/>
          <w:sz w:val="24"/>
          <w:szCs w:val="24"/>
          <w:lang w:val="en-US" w:eastAsia="zh-CN" w:bidi="ar"/>
        </w:rPr>
        <w:fldChar w:fldCharType="end"/>
      </w:r>
    </w:p>
    <w:p>
      <w:pPr>
        <w:numPr>
          <w:ilvl w:val="0"/>
          <w:numId w:val="0"/>
        </w:numPr>
        <w:spacing w:beforeLines="0" w:afterLines="0" w:line="600" w:lineRule="exact"/>
        <w:rPr>
          <w:rFonts w:hint="eastAsia" w:ascii="仿宋_GB2312" w:hAnsi="仿宋_GB2312" w:eastAsia="仿宋_GB2312" w:cs="仿宋_GB2312"/>
          <w:b/>
          <w:bCs/>
          <w:sz w:val="32"/>
          <w:szCs w:val="32"/>
          <w:lang w:val="en-US" w:eastAsia="zh-CN"/>
        </w:rPr>
      </w:pP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附件9：</w:t>
      </w: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"C:\\Users\\文档\\AppData\\Roaming\\Tencent\\Users\\2589605063\\QQ\\WinTemp\\RichOle\\JR1%L0YP`Y}{DPENSTGE4%B.png"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5410200" cy="6534150"/>
            <wp:effectExtent l="0" t="0" r="0" b="0"/>
            <wp:docPr id="2" name="图片 2"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true"/>
                    </pic:cNvPicPr>
                  </pic:nvPicPr>
                  <pic:blipFill>
                    <a:blip r:embed="rId5"/>
                    <a:stretch>
                      <a:fillRect/>
                    </a:stretch>
                  </pic:blipFill>
                  <pic:spPr>
                    <a:xfrm>
                      <a:off x="0" y="0"/>
                      <a:ext cx="5410200" cy="6534150"/>
                    </a:xfrm>
                    <a:prstGeom prst="rect">
                      <a:avLst/>
                    </a:prstGeom>
                    <a:noFill/>
                    <a:ln w="9525">
                      <a:noFill/>
                    </a:ln>
                  </pic:spPr>
                </pic:pic>
              </a:graphicData>
            </a:graphic>
          </wp:inline>
        </w:drawing>
      </w:r>
      <w:r>
        <w:rPr>
          <w:rFonts w:ascii="宋体" w:hAnsi="宋体" w:eastAsia="宋体" w:cs="宋体"/>
          <w:kern w:val="0"/>
          <w:sz w:val="24"/>
          <w:szCs w:val="24"/>
          <w:lang w:val="en-US" w:eastAsia="zh-CN" w:bidi="ar"/>
        </w:rPr>
        <w:fldChar w:fldCharType="end"/>
      </w:r>
    </w:p>
    <w:p>
      <w:pPr>
        <w:numPr>
          <w:ilvl w:val="0"/>
          <w:numId w:val="0"/>
        </w:numPr>
        <w:spacing w:beforeLines="0" w:afterLines="0" w:line="600" w:lineRule="exact"/>
        <w:rPr>
          <w:rFonts w:hint="eastAsia" w:ascii="仿宋_GB2312" w:hAnsi="仿宋_GB2312" w:eastAsia="仿宋_GB2312" w:cs="仿宋_GB2312"/>
          <w:sz w:val="32"/>
          <w:szCs w:val="32"/>
          <w:lang w:val="en-US" w:eastAsia="zh-CN"/>
        </w:rPr>
      </w:pPr>
    </w:p>
    <w:p>
      <w:pPr>
        <w:spacing w:beforeLines="0" w:afterLines="0" w:line="600" w:lineRule="exact"/>
        <w:ind w:firstLine="0"/>
        <w:rPr>
          <w:rFonts w:hint="eastAsia" w:ascii="仿宋_GB2312" w:hAnsi="仿宋_GB2312" w:eastAsia="仿宋_GB2312" w:cs="仿宋_GB2312"/>
          <w:b w:val="0"/>
          <w:bCs w:val="0"/>
          <w:sz w:val="32"/>
          <w:szCs w:val="32"/>
          <w:lang w:val="en-US" w:eastAsia="zh-CN"/>
        </w:rPr>
      </w:pPr>
    </w:p>
    <w:p>
      <w:pPr>
        <w:spacing w:beforeLines="0" w:afterLines="0" w:line="600" w:lineRule="exact"/>
        <w:ind w:firstLine="0"/>
        <w:rPr>
          <w:rFonts w:hint="eastAsia" w:ascii="仿宋_GB2312" w:hAnsi="仿宋_GB2312" w:eastAsia="仿宋_GB2312" w:cs="仿宋_GB2312"/>
          <w:b w:val="0"/>
          <w:bCs w:val="0"/>
          <w:sz w:val="32"/>
          <w:szCs w:val="32"/>
          <w:lang w:val="en-US" w:eastAsia="zh-CN"/>
        </w:rPr>
      </w:pPr>
    </w:p>
    <w:p>
      <w:pPr>
        <w:spacing w:beforeLines="0" w:afterLines="0" w:line="600" w:lineRule="exact"/>
        <w:ind w:firstLine="0"/>
        <w:rPr>
          <w:rFonts w:hint="eastAsia" w:ascii="仿宋_GB2312" w:hAnsi="仿宋_GB2312" w:eastAsia="仿宋_GB2312" w:cs="仿宋_GB2312"/>
          <w:b w:val="0"/>
          <w:bCs w:val="0"/>
          <w:sz w:val="32"/>
          <w:szCs w:val="32"/>
          <w:lang w:val="en-US" w:eastAsia="zh-CN"/>
        </w:rPr>
      </w:pPr>
    </w:p>
    <w:p>
      <w:pPr>
        <w:spacing w:beforeLines="0" w:afterLines="0" w:line="600" w:lineRule="exact"/>
        <w:ind w:firstLine="0"/>
        <w:rPr>
          <w:rFonts w:hint="eastAsia" w:ascii="仿宋_GB2312" w:hAnsi="仿宋_GB2312" w:eastAsia="仿宋_GB2312" w:cs="仿宋_GB2312"/>
          <w:b w:val="0"/>
          <w:bCs w:val="0"/>
          <w:sz w:val="32"/>
          <w:szCs w:val="32"/>
          <w:lang w:val="en-US" w:eastAsia="zh-CN"/>
        </w:rPr>
      </w:pPr>
      <w:r>
        <w:rPr>
          <w:rFonts w:ascii="宋体" w:hAnsi="宋体" w:eastAsia="宋体" w:cs="宋体"/>
          <w:kern w:val="0"/>
          <w:sz w:val="24"/>
          <w:szCs w:val="24"/>
          <w:lang w:val="en-US" w:eastAsia="zh-CN" w:bidi="ar"/>
        </w:rPr>
        <w:drawing>
          <wp:anchor distT="0" distB="0" distL="114300" distR="114300" simplePos="0" relativeHeight="251659264" behindDoc="1" locked="0" layoutInCell="1" allowOverlap="1">
            <wp:simplePos x="0" y="0"/>
            <wp:positionH relativeFrom="page">
              <wp:posOffset>502285</wp:posOffset>
            </wp:positionH>
            <wp:positionV relativeFrom="page">
              <wp:posOffset>1463040</wp:posOffset>
            </wp:positionV>
            <wp:extent cx="6648450" cy="7851775"/>
            <wp:effectExtent l="0" t="0" r="0" b="15875"/>
            <wp:wrapNone/>
            <wp:docPr id="1" name="图片 2"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true"/>
                    </pic:cNvPicPr>
                  </pic:nvPicPr>
                  <pic:blipFill>
                    <a:blip r:embed="rId6"/>
                    <a:stretch>
                      <a:fillRect/>
                    </a:stretch>
                  </pic:blipFill>
                  <pic:spPr>
                    <a:xfrm>
                      <a:off x="0" y="0"/>
                      <a:ext cx="6648450" cy="7851775"/>
                    </a:xfrm>
                    <a:prstGeom prst="rect">
                      <a:avLst/>
                    </a:prstGeom>
                    <a:noFill/>
                    <a:ln w="9525">
                      <a:noFill/>
                    </a:ln>
                  </pic:spPr>
                </pic:pic>
              </a:graphicData>
            </a:graphic>
          </wp:anchor>
        </w:drawing>
      </w:r>
      <w:r>
        <w:rPr>
          <w:rFonts w:hint="eastAsia" w:ascii="仿宋_GB2312" w:hAnsi="仿宋_GB2312" w:eastAsia="仿宋_GB2312" w:cs="仿宋_GB2312"/>
          <w:b w:val="0"/>
          <w:bCs w:val="0"/>
          <w:sz w:val="32"/>
          <w:szCs w:val="32"/>
          <w:lang w:val="en-US" w:eastAsia="zh-CN"/>
        </w:rPr>
        <w:t>附件10：</w:t>
      </w:r>
    </w:p>
    <w:p>
      <w:pPr>
        <w:keepNext w:val="0"/>
        <w:keepLines w:val="0"/>
        <w:widowControl/>
        <w:suppressLineNumbers w:val="0"/>
        <w:jc w:val="left"/>
      </w:pPr>
    </w:p>
    <w:p>
      <w:pPr>
        <w:spacing w:beforeLines="0" w:afterLines="0" w:line="600" w:lineRule="exact"/>
        <w:ind w:firstLine="420"/>
        <w:rPr>
          <w:rFonts w:hint="eastAsia" w:ascii="仿宋_GB2312" w:hAnsi="仿宋_GB2312" w:eastAsia="仿宋_GB2312" w:cs="仿宋_GB2312"/>
          <w:b/>
          <w:bCs/>
          <w:sz w:val="32"/>
          <w:szCs w:val="32"/>
          <w:lang w:val="en-US" w:eastAsia="zh-CN"/>
        </w:rPr>
      </w:pPr>
    </w:p>
    <w:p>
      <w:pPr>
        <w:spacing w:beforeLines="0" w:afterLines="0" w:line="600" w:lineRule="exact"/>
        <w:ind w:firstLine="420"/>
        <w:rPr>
          <w:rFonts w:hint="eastAsia" w:ascii="仿宋_GB2312" w:hAnsi="仿宋_GB2312" w:eastAsia="仿宋_GB2312" w:cs="仿宋_GB2312"/>
          <w:b w:val="0"/>
          <w:bCs w:val="0"/>
          <w:sz w:val="32"/>
          <w:szCs w:val="32"/>
          <w:lang w:val="en-US" w:eastAsia="zh-CN"/>
        </w:rPr>
      </w:pPr>
    </w:p>
    <w:p>
      <w:pPr>
        <w:spacing w:beforeLines="0" w:afterLines="0" w:line="600" w:lineRule="exact"/>
        <w:ind w:firstLine="420"/>
        <w:rPr>
          <w:rFonts w:hint="eastAsia" w:ascii="仿宋_GB2312" w:hAnsi="仿宋_GB2312" w:eastAsia="仿宋_GB2312" w:cs="仿宋_GB2312"/>
          <w:b w:val="0"/>
          <w:bCs w:val="0"/>
          <w:sz w:val="32"/>
          <w:szCs w:val="32"/>
          <w:lang w:val="en-US" w:eastAsia="zh-CN"/>
        </w:rPr>
      </w:pPr>
    </w:p>
    <w:p>
      <w:pPr>
        <w:spacing w:beforeLines="0" w:afterLines="0" w:line="600" w:lineRule="exact"/>
        <w:ind w:firstLine="420"/>
        <w:rPr>
          <w:rFonts w:hint="eastAsia" w:ascii="仿宋_GB2312" w:hAnsi="仿宋_GB2312" w:eastAsia="仿宋_GB2312" w:cs="仿宋_GB2312"/>
          <w:b w:val="0"/>
          <w:bCs w:val="0"/>
          <w:sz w:val="32"/>
          <w:szCs w:val="32"/>
          <w:lang w:val="en-US" w:eastAsia="zh-CN"/>
        </w:rPr>
      </w:pPr>
    </w:p>
    <w:p>
      <w:pPr>
        <w:spacing w:beforeLines="0" w:afterLines="0" w:line="600" w:lineRule="exact"/>
        <w:ind w:firstLine="420"/>
        <w:rPr>
          <w:rFonts w:hint="eastAsia" w:ascii="仿宋_GB2312" w:hAnsi="仿宋_GB2312" w:eastAsia="仿宋_GB2312" w:cs="仿宋_GB2312"/>
          <w:b w:val="0"/>
          <w:bCs w:val="0"/>
          <w:sz w:val="32"/>
          <w:szCs w:val="32"/>
          <w:lang w:val="en-US" w:eastAsia="zh-CN"/>
        </w:rPr>
      </w:pPr>
    </w:p>
    <w:p>
      <w:pPr>
        <w:spacing w:beforeLines="0" w:afterLines="0" w:line="600" w:lineRule="exact"/>
        <w:ind w:firstLine="420"/>
        <w:rPr>
          <w:rFonts w:hint="eastAsia" w:ascii="仿宋_GB2312" w:hAnsi="仿宋_GB2312" w:eastAsia="仿宋_GB2312" w:cs="仿宋_GB2312"/>
          <w:b w:val="0"/>
          <w:bCs w:val="0"/>
          <w:sz w:val="32"/>
          <w:szCs w:val="32"/>
          <w:lang w:val="en-US" w:eastAsia="zh-CN"/>
        </w:rPr>
      </w:pPr>
    </w:p>
    <w:p>
      <w:pPr>
        <w:spacing w:beforeLines="0" w:afterLines="0" w:line="600" w:lineRule="exact"/>
        <w:ind w:firstLine="420"/>
        <w:rPr>
          <w:rFonts w:hint="eastAsia" w:ascii="仿宋_GB2312" w:hAnsi="仿宋_GB2312" w:eastAsia="仿宋_GB2312" w:cs="仿宋_GB2312"/>
          <w:b w:val="0"/>
          <w:bCs w:val="0"/>
          <w:sz w:val="32"/>
          <w:szCs w:val="32"/>
          <w:lang w:val="en-US" w:eastAsia="zh-CN"/>
        </w:rPr>
      </w:pPr>
    </w:p>
    <w:p>
      <w:pPr>
        <w:spacing w:beforeLines="0" w:afterLines="0" w:line="600" w:lineRule="exact"/>
        <w:ind w:firstLine="420"/>
        <w:rPr>
          <w:rFonts w:hint="eastAsia" w:ascii="仿宋_GB2312" w:hAnsi="仿宋_GB2312" w:eastAsia="仿宋_GB2312" w:cs="仿宋_GB2312"/>
          <w:b w:val="0"/>
          <w:bCs w:val="0"/>
          <w:sz w:val="32"/>
          <w:szCs w:val="32"/>
          <w:lang w:val="en-US" w:eastAsia="zh-CN"/>
        </w:rPr>
      </w:pPr>
    </w:p>
    <w:p>
      <w:pPr>
        <w:spacing w:beforeLines="0" w:afterLines="0" w:line="600" w:lineRule="exact"/>
        <w:ind w:firstLine="420"/>
        <w:rPr>
          <w:rFonts w:hint="eastAsia" w:ascii="仿宋_GB2312" w:hAnsi="仿宋_GB2312" w:eastAsia="仿宋_GB2312" w:cs="仿宋_GB2312"/>
          <w:b w:val="0"/>
          <w:bCs w:val="0"/>
          <w:sz w:val="32"/>
          <w:szCs w:val="32"/>
          <w:lang w:val="en-US" w:eastAsia="zh-CN"/>
        </w:rPr>
      </w:pPr>
    </w:p>
    <w:p>
      <w:pPr>
        <w:spacing w:beforeLines="0" w:afterLines="0" w:line="600" w:lineRule="exact"/>
        <w:ind w:firstLine="420"/>
        <w:rPr>
          <w:rFonts w:hint="eastAsia" w:ascii="仿宋_GB2312" w:hAnsi="仿宋_GB2312" w:eastAsia="仿宋_GB2312" w:cs="仿宋_GB2312"/>
          <w:b w:val="0"/>
          <w:bCs w:val="0"/>
          <w:sz w:val="32"/>
          <w:szCs w:val="32"/>
          <w:lang w:val="en-US" w:eastAsia="zh-CN"/>
        </w:rPr>
      </w:pPr>
    </w:p>
    <w:p>
      <w:pPr>
        <w:spacing w:beforeLines="0" w:afterLines="0" w:line="600" w:lineRule="exact"/>
        <w:ind w:firstLine="420"/>
        <w:rPr>
          <w:rFonts w:hint="eastAsia" w:ascii="仿宋_GB2312" w:hAnsi="仿宋_GB2312" w:eastAsia="仿宋_GB2312" w:cs="仿宋_GB2312"/>
          <w:b w:val="0"/>
          <w:bCs w:val="0"/>
          <w:sz w:val="32"/>
          <w:szCs w:val="32"/>
          <w:lang w:val="en-US" w:eastAsia="zh-CN"/>
        </w:rPr>
      </w:pPr>
    </w:p>
    <w:p>
      <w:pPr>
        <w:spacing w:beforeLines="0" w:afterLines="0" w:line="600" w:lineRule="exact"/>
        <w:ind w:firstLine="420"/>
        <w:rPr>
          <w:rFonts w:hint="eastAsia" w:ascii="仿宋_GB2312" w:hAnsi="仿宋_GB2312" w:eastAsia="仿宋_GB2312" w:cs="仿宋_GB2312"/>
          <w:b w:val="0"/>
          <w:bCs w:val="0"/>
          <w:sz w:val="32"/>
          <w:szCs w:val="32"/>
          <w:lang w:val="en-US" w:eastAsia="zh-CN"/>
        </w:rPr>
      </w:pPr>
    </w:p>
    <w:p>
      <w:pPr>
        <w:spacing w:beforeLines="0" w:afterLines="0" w:line="600" w:lineRule="exact"/>
        <w:ind w:firstLine="420"/>
        <w:rPr>
          <w:rFonts w:hint="eastAsia" w:ascii="仿宋_GB2312" w:hAnsi="仿宋_GB2312" w:eastAsia="仿宋_GB2312" w:cs="仿宋_GB2312"/>
          <w:b w:val="0"/>
          <w:bCs w:val="0"/>
          <w:sz w:val="32"/>
          <w:szCs w:val="32"/>
          <w:lang w:val="en-US" w:eastAsia="zh-CN"/>
        </w:rPr>
      </w:pPr>
    </w:p>
    <w:p>
      <w:pPr>
        <w:spacing w:beforeLines="0" w:afterLines="0" w:line="600" w:lineRule="exact"/>
        <w:ind w:firstLine="420"/>
        <w:rPr>
          <w:rFonts w:hint="eastAsia" w:ascii="仿宋_GB2312" w:hAnsi="仿宋_GB2312" w:eastAsia="仿宋_GB2312" w:cs="仿宋_GB2312"/>
          <w:b w:val="0"/>
          <w:bCs w:val="0"/>
          <w:sz w:val="32"/>
          <w:szCs w:val="32"/>
          <w:lang w:val="en-US" w:eastAsia="zh-CN"/>
        </w:rPr>
      </w:pPr>
    </w:p>
    <w:p>
      <w:pPr>
        <w:spacing w:beforeLines="0" w:afterLines="0" w:line="600" w:lineRule="exact"/>
        <w:ind w:firstLine="420"/>
        <w:rPr>
          <w:rFonts w:hint="eastAsia" w:ascii="仿宋_GB2312" w:hAnsi="仿宋_GB2312" w:eastAsia="仿宋_GB2312" w:cs="仿宋_GB2312"/>
          <w:b w:val="0"/>
          <w:bCs w:val="0"/>
          <w:sz w:val="32"/>
          <w:szCs w:val="32"/>
          <w:lang w:val="en-US" w:eastAsia="zh-CN"/>
        </w:rPr>
      </w:pPr>
    </w:p>
    <w:p>
      <w:pPr>
        <w:spacing w:beforeLines="0" w:afterLines="0" w:line="600" w:lineRule="exact"/>
        <w:ind w:firstLine="420"/>
        <w:rPr>
          <w:rFonts w:hint="eastAsia" w:ascii="仿宋_GB2312" w:hAnsi="仿宋_GB2312" w:eastAsia="仿宋_GB2312" w:cs="仿宋_GB2312"/>
          <w:b w:val="0"/>
          <w:bCs w:val="0"/>
          <w:sz w:val="32"/>
          <w:szCs w:val="32"/>
          <w:lang w:val="en-US" w:eastAsia="zh-CN"/>
        </w:rPr>
      </w:pPr>
    </w:p>
    <w:p>
      <w:pPr>
        <w:spacing w:beforeLines="0" w:afterLines="0" w:line="600" w:lineRule="exact"/>
        <w:ind w:firstLine="420"/>
        <w:rPr>
          <w:rFonts w:hint="eastAsia" w:ascii="仿宋_GB2312" w:hAnsi="仿宋_GB2312" w:eastAsia="仿宋_GB2312" w:cs="仿宋_GB2312"/>
          <w:b w:val="0"/>
          <w:bCs w:val="0"/>
          <w:sz w:val="32"/>
          <w:szCs w:val="32"/>
          <w:lang w:val="en-US" w:eastAsia="zh-CN"/>
        </w:rPr>
      </w:pPr>
    </w:p>
    <w:p>
      <w:pPr>
        <w:spacing w:beforeLines="0" w:afterLines="0" w:line="600" w:lineRule="exact"/>
        <w:ind w:firstLine="420"/>
        <w:rPr>
          <w:rFonts w:hint="eastAsia" w:ascii="仿宋_GB2312" w:hAnsi="仿宋_GB2312" w:eastAsia="仿宋_GB2312" w:cs="仿宋_GB2312"/>
          <w:b w:val="0"/>
          <w:bCs w:val="0"/>
          <w:sz w:val="32"/>
          <w:szCs w:val="32"/>
          <w:lang w:val="en-US" w:eastAsia="zh-CN"/>
        </w:rPr>
      </w:pPr>
    </w:p>
    <w:p>
      <w:pPr>
        <w:spacing w:beforeLines="0" w:afterLines="0" w:line="600" w:lineRule="exact"/>
        <w:ind w:firstLine="420"/>
        <w:rPr>
          <w:rFonts w:hint="eastAsia" w:ascii="仿宋_GB2312" w:hAnsi="仿宋_GB2312" w:eastAsia="仿宋_GB2312" w:cs="仿宋_GB2312"/>
          <w:b w:val="0"/>
          <w:bCs w:val="0"/>
          <w:sz w:val="32"/>
          <w:szCs w:val="32"/>
          <w:lang w:val="en-US" w:eastAsia="zh-CN"/>
        </w:rPr>
      </w:pPr>
    </w:p>
    <w:p>
      <w:pPr>
        <w:spacing w:beforeLines="0" w:afterLines="0" w:line="600" w:lineRule="exact"/>
        <w:ind w:firstLine="0"/>
        <w:rPr>
          <w:rFonts w:hint="eastAsia" w:ascii="仿宋_GB2312" w:hAnsi="仿宋_GB2312" w:eastAsia="仿宋_GB2312" w:cs="仿宋_GB2312"/>
          <w:b w:val="0"/>
          <w:bCs w:val="0"/>
          <w:sz w:val="32"/>
          <w:szCs w:val="32"/>
          <w:lang w:val="en-US" w:eastAsia="zh-CN"/>
        </w:rPr>
      </w:pPr>
    </w:p>
    <w:p>
      <w:pPr>
        <w:spacing w:beforeLines="0" w:afterLines="0" w:line="600" w:lineRule="exact"/>
        <w:ind w:firstLine="0"/>
        <w:rPr>
          <w:rFonts w:hint="eastAsia" w:ascii="仿宋_GB2312" w:hAnsi="仿宋_GB2312" w:eastAsia="仿宋_GB2312" w:cs="仿宋_GB2312"/>
          <w:b w:val="0"/>
          <w:bCs w:val="0"/>
          <w:sz w:val="32"/>
          <w:szCs w:val="32"/>
          <w:lang w:val="en-US" w:eastAsia="zh-CN"/>
        </w:rPr>
      </w:pPr>
    </w:p>
    <w:p>
      <w:pPr>
        <w:spacing w:beforeLines="0" w:afterLines="0" w:line="600" w:lineRule="exact"/>
        <w:ind w:firstLine="0"/>
        <w:rPr>
          <w:rFonts w:hint="eastAsia" w:ascii="仿宋_GB2312" w:hAnsi="仿宋_GB2312" w:eastAsia="仿宋_GB2312" w:cs="仿宋_GB2312"/>
          <w:b w:val="0"/>
          <w:bCs w:val="0"/>
          <w:sz w:val="32"/>
          <w:szCs w:val="32"/>
          <w:lang w:val="en-US" w:eastAsia="zh-CN"/>
        </w:rPr>
      </w:pPr>
      <w:r>
        <w:rPr>
          <w:rFonts w:ascii="宋体" w:hAnsi="宋体" w:eastAsia="宋体" w:cs="宋体"/>
          <w:kern w:val="0"/>
          <w:sz w:val="24"/>
          <w:szCs w:val="24"/>
          <w:lang w:val="en-US" w:eastAsia="zh-CN" w:bidi="ar"/>
        </w:rPr>
        <w:drawing>
          <wp:anchor distT="0" distB="0" distL="114300" distR="114300" simplePos="0" relativeHeight="251660288" behindDoc="1" locked="0" layoutInCell="1" allowOverlap="1">
            <wp:simplePos x="0" y="0"/>
            <wp:positionH relativeFrom="page">
              <wp:posOffset>699135</wp:posOffset>
            </wp:positionH>
            <wp:positionV relativeFrom="page">
              <wp:posOffset>1385570</wp:posOffset>
            </wp:positionV>
            <wp:extent cx="6289040" cy="7715250"/>
            <wp:effectExtent l="0" t="0" r="16510" b="0"/>
            <wp:wrapNone/>
            <wp:docPr id="3" name="图片 3"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true"/>
                    </pic:cNvPicPr>
                  </pic:nvPicPr>
                  <pic:blipFill>
                    <a:blip r:embed="rId7"/>
                    <a:stretch>
                      <a:fillRect/>
                    </a:stretch>
                  </pic:blipFill>
                  <pic:spPr>
                    <a:xfrm>
                      <a:off x="0" y="0"/>
                      <a:ext cx="6289040" cy="7715250"/>
                    </a:xfrm>
                    <a:prstGeom prst="rect">
                      <a:avLst/>
                    </a:prstGeom>
                    <a:noFill/>
                    <a:ln w="9525">
                      <a:noFill/>
                    </a:ln>
                  </pic:spPr>
                </pic:pic>
              </a:graphicData>
            </a:graphic>
          </wp:anchor>
        </w:drawing>
      </w:r>
      <w:r>
        <w:rPr>
          <w:rFonts w:hint="eastAsia" w:ascii="仿宋_GB2312" w:hAnsi="仿宋_GB2312" w:eastAsia="仿宋_GB2312" w:cs="仿宋_GB2312"/>
          <w:b w:val="0"/>
          <w:bCs w:val="0"/>
          <w:sz w:val="32"/>
          <w:szCs w:val="32"/>
          <w:lang w:val="en-US" w:eastAsia="zh-CN"/>
        </w:rPr>
        <w:t>附件11：</w:t>
      </w:r>
    </w:p>
    <w:p>
      <w:pPr>
        <w:spacing w:beforeLines="0" w:afterLines="0" w:line="600" w:lineRule="exact"/>
        <w:ind w:firstLine="420"/>
        <w:rPr>
          <w:rFonts w:hint="eastAsia" w:ascii="仿宋_GB2312" w:hAnsi="仿宋_GB2312" w:eastAsia="仿宋_GB2312" w:cs="仿宋_GB2312"/>
          <w:b w:val="0"/>
          <w:bCs w:val="0"/>
          <w:sz w:val="32"/>
          <w:szCs w:val="32"/>
          <w:lang w:val="en-US" w:eastAsia="zh-CN"/>
        </w:rPr>
      </w:pPr>
    </w:p>
    <w:p>
      <w:pPr>
        <w:widowControl/>
        <w:jc w:val="left"/>
        <w:rPr>
          <w:rFonts w:hint="default" w:ascii="仿宋_GB2312" w:hAnsi="仿宋_GB2312" w:eastAsia="仿宋_GB2312" w:cs="仿宋_GB2312"/>
          <w:b/>
          <w:bCs/>
          <w:sz w:val="32"/>
          <w:szCs w:val="32"/>
          <w:lang w:val="en-US" w:eastAsia="zh-CN"/>
        </w:rPr>
      </w:pPr>
    </w:p>
    <w:p>
      <w:pPr>
        <w:spacing w:line="600" w:lineRule="exact"/>
        <w:jc w:val="left"/>
        <w:rPr>
          <w:rFonts w:ascii="仿宋" w:hAnsi="仿宋" w:eastAsia="仿宋" w:cs="仿宋"/>
          <w:sz w:val="28"/>
          <w:szCs w:val="28"/>
        </w:rPr>
      </w:pPr>
    </w:p>
    <w:p>
      <w:pPr>
        <w:spacing w:line="600" w:lineRule="exact"/>
        <w:jc w:val="left"/>
        <w:rPr>
          <w:rFonts w:ascii="仿宋" w:hAnsi="仿宋" w:eastAsia="仿宋" w:cs="仿宋"/>
          <w:sz w:val="28"/>
          <w:szCs w:val="28"/>
        </w:rPr>
      </w:pPr>
    </w:p>
    <w:p>
      <w:pPr>
        <w:spacing w:line="600" w:lineRule="exact"/>
        <w:jc w:val="left"/>
        <w:rPr>
          <w:rFonts w:ascii="仿宋" w:hAnsi="仿宋" w:eastAsia="仿宋" w:cs="仿宋"/>
          <w:sz w:val="28"/>
          <w:szCs w:val="28"/>
        </w:rPr>
      </w:pPr>
    </w:p>
    <w:p>
      <w:pPr>
        <w:spacing w:line="600" w:lineRule="exact"/>
        <w:jc w:val="left"/>
        <w:rPr>
          <w:rFonts w:ascii="仿宋" w:hAnsi="仿宋" w:eastAsia="仿宋" w:cs="仿宋"/>
          <w:sz w:val="28"/>
          <w:szCs w:val="28"/>
        </w:rPr>
      </w:pPr>
    </w:p>
    <w:p>
      <w:pPr>
        <w:spacing w:line="600" w:lineRule="exact"/>
        <w:jc w:val="left"/>
        <w:rPr>
          <w:rFonts w:ascii="仿宋" w:hAnsi="仿宋" w:eastAsia="仿宋" w:cs="仿宋"/>
          <w:sz w:val="28"/>
          <w:szCs w:val="28"/>
        </w:rPr>
      </w:pPr>
    </w:p>
    <w:p>
      <w:pPr>
        <w:spacing w:line="600" w:lineRule="exact"/>
        <w:jc w:val="left"/>
        <w:rPr>
          <w:rFonts w:ascii="仿宋" w:hAnsi="仿宋" w:eastAsia="仿宋" w:cs="仿宋"/>
          <w:sz w:val="28"/>
          <w:szCs w:val="28"/>
        </w:rPr>
      </w:pPr>
    </w:p>
    <w:p>
      <w:pPr>
        <w:spacing w:line="600" w:lineRule="exact"/>
        <w:jc w:val="left"/>
        <w:rPr>
          <w:rFonts w:ascii="仿宋" w:hAnsi="仿宋" w:eastAsia="仿宋" w:cs="仿宋"/>
          <w:sz w:val="28"/>
          <w:szCs w:val="28"/>
        </w:rPr>
      </w:pPr>
    </w:p>
    <w:p>
      <w:pPr>
        <w:spacing w:line="600" w:lineRule="exact"/>
        <w:jc w:val="left"/>
        <w:rPr>
          <w:rFonts w:ascii="仿宋" w:hAnsi="仿宋" w:eastAsia="仿宋" w:cs="仿宋"/>
          <w:sz w:val="28"/>
          <w:szCs w:val="28"/>
        </w:rPr>
      </w:pPr>
    </w:p>
    <w:p>
      <w:pPr>
        <w:spacing w:line="600" w:lineRule="exact"/>
        <w:jc w:val="left"/>
        <w:rPr>
          <w:rFonts w:ascii="仿宋" w:hAnsi="仿宋" w:eastAsia="仿宋" w:cs="仿宋"/>
          <w:sz w:val="28"/>
          <w:szCs w:val="28"/>
        </w:rPr>
      </w:pPr>
    </w:p>
    <w:p>
      <w:pPr>
        <w:spacing w:line="600" w:lineRule="exact"/>
        <w:jc w:val="left"/>
        <w:rPr>
          <w:rFonts w:ascii="仿宋" w:hAnsi="仿宋" w:eastAsia="仿宋" w:cs="仿宋"/>
          <w:sz w:val="28"/>
          <w:szCs w:val="28"/>
        </w:rPr>
      </w:pPr>
    </w:p>
    <w:p>
      <w:pPr>
        <w:spacing w:line="600" w:lineRule="exact"/>
        <w:jc w:val="left"/>
        <w:rPr>
          <w:rFonts w:ascii="仿宋" w:hAnsi="仿宋" w:eastAsia="仿宋" w:cs="仿宋"/>
          <w:sz w:val="28"/>
          <w:szCs w:val="28"/>
        </w:rPr>
      </w:pPr>
    </w:p>
    <w:p>
      <w:pPr>
        <w:spacing w:line="600" w:lineRule="exact"/>
        <w:jc w:val="left"/>
        <w:rPr>
          <w:rFonts w:ascii="仿宋" w:hAnsi="仿宋" w:eastAsia="仿宋" w:cs="仿宋"/>
          <w:sz w:val="28"/>
          <w:szCs w:val="28"/>
        </w:rPr>
      </w:pPr>
    </w:p>
    <w:p>
      <w:pPr>
        <w:spacing w:line="600" w:lineRule="exact"/>
        <w:jc w:val="left"/>
        <w:rPr>
          <w:rFonts w:ascii="仿宋" w:hAnsi="仿宋" w:eastAsia="仿宋" w:cs="仿宋"/>
          <w:sz w:val="28"/>
          <w:szCs w:val="28"/>
        </w:rPr>
      </w:pPr>
    </w:p>
    <w:p>
      <w:pPr>
        <w:spacing w:line="600" w:lineRule="exact"/>
        <w:jc w:val="left"/>
        <w:rPr>
          <w:rFonts w:ascii="仿宋" w:hAnsi="仿宋" w:eastAsia="仿宋" w:cs="仿宋"/>
          <w:sz w:val="28"/>
          <w:szCs w:val="28"/>
        </w:rPr>
      </w:pPr>
    </w:p>
    <w:p>
      <w:pPr>
        <w:spacing w:line="600" w:lineRule="exact"/>
        <w:jc w:val="left"/>
        <w:rPr>
          <w:rFonts w:ascii="仿宋" w:hAnsi="仿宋" w:eastAsia="仿宋" w:cs="仿宋"/>
          <w:sz w:val="28"/>
          <w:szCs w:val="28"/>
        </w:rPr>
      </w:pPr>
    </w:p>
    <w:p>
      <w:pPr>
        <w:spacing w:line="600" w:lineRule="exact"/>
        <w:jc w:val="left"/>
        <w:rPr>
          <w:rFonts w:ascii="仿宋" w:hAnsi="仿宋" w:eastAsia="仿宋" w:cs="仿宋"/>
          <w:sz w:val="28"/>
          <w:szCs w:val="28"/>
        </w:rPr>
      </w:pPr>
    </w:p>
    <w:p>
      <w:pPr>
        <w:spacing w:line="600" w:lineRule="exact"/>
        <w:jc w:val="left"/>
        <w:rPr>
          <w:rFonts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4F44B1"/>
    <w:rsid w:val="71530DE9"/>
    <w:rsid w:val="7C197A9B"/>
    <w:rsid w:val="9FF541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rFonts w:ascii="Times New Roman" w:hAnsi="Times New Roman" w:eastAsia="宋体" w:cs="Times New Roman"/>
      <w:b/>
    </w:rPr>
  </w:style>
  <w:style w:type="paragraph" w:customStyle="1" w:styleId="7">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8">
    <w:name w:val="15"/>
    <w:basedOn w:val="5"/>
    <w:qFormat/>
    <w:uiPriority w:val="0"/>
    <w:rPr>
      <w:rFonts w:hint="default" w:ascii="Times New Roman" w:hAnsi="Times New Roman" w:eastAsia="宋体" w:cs="Times New Roman"/>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yjj</cp:lastModifiedBy>
  <dcterms:modified xsi:type="dcterms:W3CDTF">2022-06-16T09:11:53Z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A48A5A179D5A4689A74AEBD485456411</vt:lpwstr>
  </property>
</Properties>
</file>