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lang w:eastAsia="zh-CN"/>
        </w:rPr>
        <w:t>自治区</w:t>
      </w:r>
      <w:r>
        <w:rPr>
          <w:rFonts w:hint="eastAsia" w:ascii="方正小标宋_GBK" w:hAnsi="方正小标宋_GBK" w:eastAsia="方正小标宋_GBK" w:cs="方正小标宋_GBK"/>
          <w:b w:val="0"/>
          <w:bCs w:val="0"/>
          <w:sz w:val="44"/>
          <w:szCs w:val="44"/>
        </w:rPr>
        <w:t>药品监督管理局新闻宣传工作管理规定</w:t>
      </w:r>
      <w:bookmarkEnd w:id="0"/>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544" w:firstLineChars="200"/>
        <w:jc w:val="center"/>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为切实加强和规范局新闻宣传工作，保障监管信息发布的及时、准确、科学、权威，充分发挥新闻媒体舆论</w:t>
      </w:r>
      <w:r>
        <w:rPr>
          <w:rFonts w:hint="eastAsia" w:ascii="仿宋_GB2312" w:eastAsia="仿宋_GB2312"/>
          <w:color w:val="000000"/>
          <w:sz w:val="32"/>
          <w:szCs w:val="32"/>
          <w:lang w:eastAsia="zh-CN"/>
        </w:rPr>
        <w:t>监督和</w:t>
      </w:r>
      <w:r>
        <w:rPr>
          <w:rFonts w:hint="eastAsia" w:ascii="仿宋_GB2312" w:eastAsia="仿宋_GB2312"/>
          <w:color w:val="000000"/>
          <w:sz w:val="32"/>
          <w:szCs w:val="32"/>
        </w:rPr>
        <w:t>宣传引导作用，塑造药品监管系统良好的社会形象，营造</w:t>
      </w:r>
      <w:r>
        <w:rPr>
          <w:rFonts w:hint="eastAsia" w:ascii="仿宋_GB2312" w:eastAsia="仿宋_GB2312"/>
          <w:color w:val="000000"/>
          <w:sz w:val="32"/>
          <w:szCs w:val="32"/>
          <w:lang w:eastAsia="zh-CN"/>
        </w:rPr>
        <w:t>共治共享社会</w:t>
      </w:r>
      <w:r>
        <w:rPr>
          <w:rFonts w:hint="eastAsia" w:ascii="仿宋_GB2312" w:eastAsia="仿宋_GB2312"/>
          <w:color w:val="000000"/>
          <w:sz w:val="32"/>
          <w:szCs w:val="32"/>
        </w:rPr>
        <w:t>氛围，</w:t>
      </w:r>
      <w:r>
        <w:rPr>
          <w:rFonts w:hint="eastAsia" w:ascii="仿宋_GB2312" w:eastAsia="仿宋_GB2312"/>
          <w:color w:val="auto"/>
          <w:sz w:val="32"/>
          <w:szCs w:val="32"/>
        </w:rPr>
        <w:t>依照</w:t>
      </w:r>
      <w:r>
        <w:rPr>
          <w:rFonts w:hint="eastAsia" w:ascii="仿宋_GB2312" w:eastAsia="仿宋_GB2312"/>
          <w:color w:val="auto"/>
          <w:sz w:val="32"/>
          <w:szCs w:val="32"/>
          <w:lang w:eastAsia="zh-CN"/>
        </w:rPr>
        <w:t>上级关于</w:t>
      </w:r>
      <w:r>
        <w:rPr>
          <w:rFonts w:hint="eastAsia" w:ascii="仿宋_GB2312" w:eastAsia="仿宋_GB2312"/>
          <w:color w:val="auto"/>
          <w:sz w:val="32"/>
          <w:szCs w:val="32"/>
        </w:rPr>
        <w:t>新闻</w:t>
      </w:r>
      <w:r>
        <w:rPr>
          <w:rFonts w:hint="eastAsia" w:ascii="仿宋_GB2312" w:eastAsia="仿宋_GB2312"/>
          <w:color w:val="auto"/>
          <w:sz w:val="32"/>
          <w:szCs w:val="32"/>
          <w:lang w:eastAsia="zh-CN"/>
        </w:rPr>
        <w:t>宣传</w:t>
      </w:r>
      <w:r>
        <w:rPr>
          <w:rFonts w:hint="eastAsia" w:ascii="仿宋_GB2312" w:eastAsia="仿宋_GB2312"/>
          <w:color w:val="auto"/>
          <w:sz w:val="32"/>
          <w:szCs w:val="32"/>
        </w:rPr>
        <w:t>工作</w:t>
      </w:r>
      <w:r>
        <w:rPr>
          <w:rFonts w:hint="eastAsia" w:ascii="仿宋_GB2312" w:eastAsia="仿宋_GB2312"/>
          <w:color w:val="auto"/>
          <w:sz w:val="32"/>
          <w:szCs w:val="32"/>
          <w:lang w:eastAsia="zh-CN"/>
        </w:rPr>
        <w:t>的</w:t>
      </w:r>
      <w:r>
        <w:rPr>
          <w:rFonts w:hint="eastAsia" w:ascii="仿宋_GB2312" w:eastAsia="仿宋_GB2312"/>
          <w:color w:val="auto"/>
          <w:sz w:val="32"/>
          <w:szCs w:val="32"/>
        </w:rPr>
        <w:t>管理规定，</w:t>
      </w:r>
      <w:r>
        <w:rPr>
          <w:rFonts w:hint="eastAsia" w:ascii="仿宋_GB2312" w:eastAsia="仿宋_GB2312"/>
          <w:color w:val="000000"/>
          <w:sz w:val="32"/>
          <w:szCs w:val="32"/>
        </w:rPr>
        <w:t>制订本规定。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一、宣传报道归口管理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局新闻宣传工作</w:t>
      </w:r>
      <w:r>
        <w:rPr>
          <w:rFonts w:hint="eastAsia" w:ascii="仿宋_GB2312" w:eastAsia="仿宋_GB2312"/>
          <w:color w:val="000000"/>
          <w:sz w:val="32"/>
          <w:szCs w:val="32"/>
          <w:lang w:eastAsia="zh-CN"/>
        </w:rPr>
        <w:t>实行全员参与、</w:t>
      </w:r>
      <w:r>
        <w:rPr>
          <w:rFonts w:hint="eastAsia" w:ascii="仿宋_GB2312" w:eastAsia="仿宋_GB2312"/>
          <w:color w:val="000000"/>
          <w:sz w:val="32"/>
          <w:szCs w:val="32"/>
        </w:rPr>
        <w:t>归口管理</w:t>
      </w:r>
      <w:r>
        <w:rPr>
          <w:rFonts w:hint="eastAsia" w:ascii="仿宋_GB2312" w:eastAsia="仿宋_GB2312"/>
          <w:color w:val="000000"/>
          <w:sz w:val="32"/>
          <w:szCs w:val="32"/>
          <w:lang w:eastAsia="zh-CN"/>
        </w:rPr>
        <w:t>机制，综合处</w:t>
      </w:r>
      <w:r>
        <w:rPr>
          <w:rFonts w:hint="eastAsia" w:ascii="仿宋_GB2312" w:eastAsia="仿宋_GB2312"/>
          <w:color w:val="000000"/>
          <w:sz w:val="32"/>
          <w:szCs w:val="32"/>
        </w:rPr>
        <w:t>负责制定年度新闻宣传工作计划</w:t>
      </w:r>
      <w:r>
        <w:rPr>
          <w:rFonts w:hint="eastAsia" w:ascii="仿宋_GB2312" w:eastAsia="仿宋_GB2312"/>
          <w:color w:val="000000"/>
          <w:sz w:val="32"/>
          <w:szCs w:val="32"/>
          <w:lang w:eastAsia="zh-CN"/>
        </w:rPr>
        <w:t>并抓好</w:t>
      </w:r>
      <w:r>
        <w:rPr>
          <w:rFonts w:hint="eastAsia" w:ascii="仿宋_GB2312" w:eastAsia="仿宋_GB2312"/>
          <w:color w:val="000000"/>
          <w:sz w:val="32"/>
          <w:szCs w:val="32"/>
        </w:rPr>
        <w:t>组织实施工作，协调联络有关新闻管理部门和新闻媒体，不定期召开局新闻工作会议，指导协调市县局新闻宣传工作。局机关各处室</w:t>
      </w:r>
      <w:r>
        <w:rPr>
          <w:rFonts w:hint="eastAsia" w:ascii="仿宋_GB2312" w:eastAsia="仿宋_GB2312"/>
          <w:color w:val="000000"/>
          <w:sz w:val="32"/>
          <w:szCs w:val="32"/>
          <w:lang w:eastAsia="zh-CN"/>
        </w:rPr>
        <w:t>、直属各事业单位紧密结合本处室、本单位职能职责和工作实际，积极策划宣传主题和内容，研究提出具体宣传需求，并各</w:t>
      </w:r>
      <w:r>
        <w:rPr>
          <w:rFonts w:hint="eastAsia" w:ascii="仿宋_GB2312" w:eastAsia="仿宋_GB2312"/>
          <w:color w:val="000000"/>
          <w:sz w:val="32"/>
          <w:szCs w:val="32"/>
        </w:rPr>
        <w:t>确定</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名通讯员负责</w:t>
      </w:r>
      <w:r>
        <w:rPr>
          <w:rFonts w:hint="eastAsia" w:ascii="仿宋_GB2312" w:eastAsia="仿宋_GB2312"/>
          <w:color w:val="000000"/>
          <w:sz w:val="32"/>
          <w:szCs w:val="32"/>
          <w:lang w:eastAsia="zh-CN"/>
        </w:rPr>
        <w:t>本处室、本单位新闻宣传</w:t>
      </w:r>
      <w:r>
        <w:rPr>
          <w:rFonts w:hint="eastAsia" w:ascii="仿宋_GB2312" w:eastAsia="仿宋_GB2312"/>
          <w:color w:val="000000"/>
          <w:sz w:val="32"/>
          <w:szCs w:val="32"/>
        </w:rPr>
        <w:t>报道线索和典型材料</w:t>
      </w:r>
      <w:r>
        <w:rPr>
          <w:rFonts w:hint="eastAsia" w:ascii="仿宋_GB2312" w:eastAsia="仿宋_GB2312"/>
          <w:color w:val="000000"/>
          <w:sz w:val="32"/>
          <w:szCs w:val="32"/>
          <w:lang w:eastAsia="zh-CN"/>
        </w:rPr>
        <w:t>的</w:t>
      </w:r>
      <w:r>
        <w:rPr>
          <w:rFonts w:hint="eastAsia" w:ascii="仿宋_GB2312" w:eastAsia="仿宋_GB2312"/>
          <w:color w:val="000000"/>
          <w:sz w:val="32"/>
          <w:szCs w:val="32"/>
        </w:rPr>
        <w:t>采写</w:t>
      </w:r>
      <w:r>
        <w:rPr>
          <w:rFonts w:hint="eastAsia" w:ascii="仿宋_GB2312" w:eastAsia="仿宋_GB2312"/>
          <w:color w:val="000000"/>
          <w:sz w:val="32"/>
          <w:szCs w:val="32"/>
          <w:lang w:eastAsia="zh-CN"/>
        </w:rPr>
        <w:t>、提供等具体任务</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黑体" w:eastAsia="黑体"/>
          <w:color w:val="000000"/>
          <w:sz w:val="32"/>
          <w:szCs w:val="32"/>
        </w:rPr>
      </w:pPr>
      <w:r>
        <w:rPr>
          <w:rFonts w:hint="eastAsia" w:ascii="黑体" w:eastAsia="黑体"/>
          <w:color w:val="000000"/>
          <w:sz w:val="32"/>
          <w:szCs w:val="32"/>
        </w:rPr>
        <w:t>二、重要新闻发布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楷体_GB2312" w:eastAsia="楷体_GB2312"/>
          <w:b/>
          <w:color w:val="000000"/>
          <w:sz w:val="32"/>
          <w:szCs w:val="32"/>
        </w:rPr>
        <w:t>（一）重要新闻：</w:t>
      </w:r>
      <w:r>
        <w:rPr>
          <w:rFonts w:hint="eastAsia" w:ascii="仿宋_GB2312" w:eastAsia="仿宋_GB2312"/>
          <w:color w:val="000000"/>
          <w:sz w:val="32"/>
          <w:szCs w:val="32"/>
        </w:rPr>
        <w:t>指新出台的法律、法规和监管政策，重要工作部署及其进展情况，重大药品安全事故查处，监管工作重大举措及成效，以及药品质量监督检测结果</w:t>
      </w:r>
      <w:r>
        <w:rPr>
          <w:rFonts w:hint="eastAsia" w:ascii="仿宋_GB2312"/>
          <w:color w:val="000000"/>
          <w:sz w:val="32"/>
          <w:szCs w:val="32"/>
          <w:lang w:eastAsia="zh-CN"/>
        </w:rPr>
        <w:t>发布</w:t>
      </w:r>
      <w:r>
        <w:rPr>
          <w:rFonts w:hint="eastAsia" w:ascii="仿宋_GB2312" w:eastAsia="仿宋_GB2312"/>
          <w:color w:val="000000"/>
          <w:sz w:val="32"/>
          <w:szCs w:val="32"/>
        </w:rPr>
        <w:t>、药品（医疗器械）不良反应（事件）</w:t>
      </w:r>
      <w:r>
        <w:rPr>
          <w:rFonts w:hint="eastAsia" w:ascii="仿宋_GB2312"/>
          <w:color w:val="000000"/>
          <w:sz w:val="32"/>
          <w:szCs w:val="32"/>
          <w:lang w:eastAsia="zh-CN"/>
        </w:rPr>
        <w:t>监测情况</w:t>
      </w:r>
      <w:r>
        <w:rPr>
          <w:rFonts w:hint="eastAsia" w:ascii="仿宋_GB2312" w:eastAsia="仿宋_GB2312"/>
          <w:color w:val="000000"/>
          <w:sz w:val="32"/>
          <w:szCs w:val="32"/>
        </w:rPr>
        <w:t>、重大突发性事件等重要信息。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8" w:firstLineChars="150"/>
        <w:textAlignment w:val="auto"/>
        <w:outlineLvl w:val="9"/>
        <w:rPr>
          <w:rFonts w:hint="eastAsia" w:ascii="楷体_GB2312" w:eastAsia="楷体_GB2312"/>
          <w:b/>
          <w:color w:val="000000"/>
          <w:sz w:val="32"/>
          <w:szCs w:val="32"/>
        </w:rPr>
      </w:pPr>
      <w:r>
        <w:rPr>
          <w:rFonts w:hint="eastAsia" w:ascii="楷体_GB2312" w:eastAsia="楷体_GB2312"/>
          <w:b/>
          <w:color w:val="000000"/>
          <w:sz w:val="32"/>
          <w:szCs w:val="32"/>
        </w:rPr>
        <w:t>（二）新闻发布。</w:t>
      </w:r>
      <w:r>
        <w:rPr>
          <w:rFonts w:hint="eastAsia" w:ascii="仿宋_GB2312" w:eastAsia="仿宋_GB2312"/>
          <w:color w:val="000000"/>
          <w:sz w:val="32"/>
          <w:szCs w:val="32"/>
        </w:rPr>
        <w:t>新闻发布的形式主要有三种：新闻发布会、专题新闻发布会、日常新闻发布。新闻发布会</w:t>
      </w:r>
      <w:r>
        <w:rPr>
          <w:rFonts w:hint="eastAsia" w:ascii="仿宋_GB2312" w:eastAsia="仿宋_GB2312"/>
          <w:color w:val="000000"/>
          <w:sz w:val="32"/>
          <w:szCs w:val="32"/>
          <w:lang w:eastAsia="zh-CN"/>
        </w:rPr>
        <w:t>每年按</w:t>
      </w:r>
      <w:r>
        <w:rPr>
          <w:rFonts w:hint="eastAsia" w:ascii="仿宋_GB2312" w:eastAsia="仿宋_GB2312"/>
          <w:color w:val="000000"/>
          <w:sz w:val="32"/>
          <w:szCs w:val="32"/>
        </w:rPr>
        <w:t>计划</w:t>
      </w:r>
      <w:r>
        <w:rPr>
          <w:rFonts w:hint="eastAsia" w:ascii="仿宋_GB2312" w:eastAsia="仿宋_GB2312"/>
          <w:color w:val="000000"/>
          <w:sz w:val="32"/>
          <w:szCs w:val="32"/>
          <w:lang w:eastAsia="zh-CN"/>
        </w:rPr>
        <w:t>举行</w:t>
      </w:r>
      <w:r>
        <w:rPr>
          <w:rFonts w:hint="eastAsia" w:ascii="仿宋_GB2312" w:eastAsia="仿宋_GB2312"/>
          <w:color w:val="000000"/>
          <w:sz w:val="32"/>
          <w:szCs w:val="32"/>
          <w:lang w:val="en-US" w:eastAsia="zh-CN"/>
        </w:rPr>
        <w:t>2次以上；由综合处牵头做好发布会选题、报批等具体工作；</w:t>
      </w:r>
      <w:r>
        <w:rPr>
          <w:rFonts w:hint="eastAsia" w:ascii="仿宋_GB2312" w:eastAsia="仿宋_GB2312"/>
          <w:color w:val="000000"/>
          <w:sz w:val="32"/>
          <w:szCs w:val="32"/>
        </w:rPr>
        <w:t>专题新闻发布会根据重大事项、重大突发事件适时</w:t>
      </w:r>
      <w:r>
        <w:rPr>
          <w:rFonts w:hint="eastAsia" w:ascii="仿宋_GB2312" w:eastAsia="仿宋_GB2312"/>
          <w:color w:val="000000"/>
          <w:sz w:val="32"/>
          <w:szCs w:val="32"/>
          <w:lang w:eastAsia="zh-CN"/>
        </w:rPr>
        <w:t>举行</w:t>
      </w:r>
      <w:r>
        <w:rPr>
          <w:rFonts w:hint="eastAsia" w:ascii="仿宋_GB2312" w:eastAsia="仿宋_GB2312"/>
          <w:color w:val="000000"/>
          <w:sz w:val="32"/>
          <w:szCs w:val="32"/>
        </w:rPr>
        <w:t>。日常新闻发布一般邀请新闻媒体记者采访或向主流新闻媒体提供通稿。局直属单位需要发布新闻信息的，应制定新闻发布计划，报区局审批。新闻发布的内容</w:t>
      </w:r>
      <w:r>
        <w:rPr>
          <w:rFonts w:hint="eastAsia" w:ascii="仿宋_GB2312"/>
          <w:color w:val="000000"/>
          <w:sz w:val="32"/>
          <w:szCs w:val="32"/>
          <w:lang w:eastAsia="zh-CN"/>
        </w:rPr>
        <w:t>应当真实客观，</w:t>
      </w:r>
      <w:r>
        <w:rPr>
          <w:rFonts w:hint="eastAsia" w:ascii="仿宋_GB2312" w:eastAsia="仿宋_GB2312"/>
          <w:color w:val="000000"/>
          <w:sz w:val="32"/>
          <w:szCs w:val="32"/>
        </w:rPr>
        <w:t>不得违反法律法规，不得泄漏国家秘密。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8" w:firstLineChars="150"/>
        <w:textAlignment w:val="auto"/>
        <w:outlineLvl w:val="9"/>
        <w:rPr>
          <w:rFonts w:hint="eastAsia" w:ascii="楷体_GB2312" w:eastAsia="楷体_GB2312"/>
          <w:b/>
          <w:color w:val="000000"/>
          <w:sz w:val="32"/>
          <w:szCs w:val="32"/>
        </w:rPr>
      </w:pPr>
      <w:r>
        <w:rPr>
          <w:rFonts w:hint="eastAsia" w:ascii="楷体_GB2312" w:eastAsia="楷体_GB2312"/>
          <w:b/>
          <w:color w:val="000000"/>
          <w:sz w:val="32"/>
          <w:szCs w:val="32"/>
        </w:rPr>
        <w:t>（三）新闻发言人。</w:t>
      </w:r>
      <w:r>
        <w:rPr>
          <w:rFonts w:hint="eastAsia" w:ascii="仿宋_GB2312" w:eastAsia="仿宋_GB2312"/>
          <w:color w:val="000000"/>
          <w:sz w:val="32"/>
          <w:szCs w:val="32"/>
        </w:rPr>
        <w:t>建立新闻发言人制度，设立相对固定的新闻发言人，规范新闻发布形式。以自治区</w:t>
      </w:r>
      <w:r>
        <w:rPr>
          <w:rFonts w:hint="eastAsia" w:ascii="仿宋_GB2312" w:eastAsia="仿宋_GB2312"/>
          <w:color w:val="000000"/>
          <w:sz w:val="32"/>
          <w:szCs w:val="32"/>
          <w:lang w:eastAsia="zh-CN"/>
        </w:rPr>
        <w:t>人民</w:t>
      </w:r>
      <w:r>
        <w:rPr>
          <w:rFonts w:hint="eastAsia" w:ascii="仿宋_GB2312" w:eastAsia="仿宋_GB2312"/>
          <w:color w:val="000000"/>
          <w:sz w:val="32"/>
          <w:szCs w:val="32"/>
        </w:rPr>
        <w:t>政府新闻办名义发布或内容为重大事件、突发事件的重要新闻，由局领导担任新闻发言人并发布，必要时请自治区相关部门负责人配合；日常新闻原则上由</w:t>
      </w:r>
      <w:r>
        <w:rPr>
          <w:rFonts w:hint="eastAsia" w:ascii="仿宋_GB2312" w:eastAsia="仿宋_GB2312"/>
          <w:color w:val="000000"/>
          <w:sz w:val="32"/>
          <w:szCs w:val="32"/>
          <w:lang w:eastAsia="zh-CN"/>
        </w:rPr>
        <w:t>综合处协调有关处室负责人对外</w:t>
      </w:r>
      <w:r>
        <w:rPr>
          <w:rFonts w:hint="eastAsia" w:ascii="仿宋_GB2312" w:eastAsia="仿宋_GB2312"/>
          <w:color w:val="000000"/>
          <w:sz w:val="32"/>
          <w:szCs w:val="32"/>
        </w:rPr>
        <w:t>发布，</w:t>
      </w:r>
      <w:r>
        <w:rPr>
          <w:rFonts w:hint="eastAsia" w:ascii="仿宋_GB2312" w:eastAsia="仿宋_GB2312"/>
          <w:color w:val="000000"/>
          <w:sz w:val="32"/>
          <w:szCs w:val="32"/>
          <w:lang w:eastAsia="zh-CN"/>
        </w:rPr>
        <w:t>必</w:t>
      </w:r>
      <w:r>
        <w:rPr>
          <w:rFonts w:hint="eastAsia" w:ascii="仿宋_GB2312" w:eastAsia="仿宋_GB2312"/>
          <w:color w:val="000000"/>
          <w:sz w:val="32"/>
          <w:szCs w:val="32"/>
        </w:rPr>
        <w:t>要时视情</w:t>
      </w:r>
      <w:r>
        <w:rPr>
          <w:rFonts w:hint="eastAsia" w:ascii="仿宋_GB2312" w:eastAsia="仿宋_GB2312"/>
          <w:color w:val="000000"/>
          <w:sz w:val="32"/>
          <w:szCs w:val="32"/>
          <w:lang w:eastAsia="zh-CN"/>
        </w:rPr>
        <w:t>况</w:t>
      </w:r>
      <w:r>
        <w:rPr>
          <w:rFonts w:hint="eastAsia" w:ascii="仿宋_GB2312" w:eastAsia="仿宋_GB2312"/>
          <w:color w:val="000000"/>
          <w:sz w:val="32"/>
          <w:szCs w:val="32"/>
        </w:rPr>
        <w:t>邀请</w:t>
      </w:r>
      <w:r>
        <w:rPr>
          <w:rFonts w:hint="eastAsia" w:ascii="仿宋_GB2312" w:eastAsia="仿宋_GB2312"/>
          <w:color w:val="000000"/>
          <w:sz w:val="32"/>
          <w:szCs w:val="32"/>
          <w:lang w:eastAsia="zh-CN"/>
        </w:rPr>
        <w:t>分管局领导</w:t>
      </w:r>
      <w:r>
        <w:rPr>
          <w:rFonts w:hint="eastAsia" w:ascii="仿宋_GB2312" w:eastAsia="仿宋_GB2312"/>
          <w:color w:val="000000"/>
          <w:sz w:val="32"/>
          <w:szCs w:val="32"/>
        </w:rPr>
        <w:t>担任新闻发言人并发布。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68" w:firstLineChars="150"/>
        <w:textAlignment w:val="auto"/>
        <w:outlineLvl w:val="9"/>
        <w:rPr>
          <w:rFonts w:hint="eastAsia" w:ascii="楷体_GB2312" w:eastAsia="楷体_GB2312"/>
          <w:b/>
          <w:color w:val="000000"/>
          <w:sz w:val="32"/>
          <w:szCs w:val="32"/>
        </w:rPr>
      </w:pPr>
      <w:r>
        <w:rPr>
          <w:rFonts w:hint="eastAsia" w:ascii="楷体_GB2312" w:eastAsia="楷体_GB2312"/>
          <w:b/>
          <w:color w:val="000000"/>
          <w:sz w:val="32"/>
          <w:szCs w:val="32"/>
        </w:rPr>
        <w:t>（四）发布程序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与相关处室商定新闻发布会内容，报请局领导批准后实施。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2、根据发布会的内容，相关处室准备好发布材料、新闻通稿、背景材料及答问参考，</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初审后，报局领导审定。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3、新闻发布会由</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组织，相关处室配合。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黑体" w:eastAsia="黑体"/>
          <w:color w:val="000000"/>
          <w:sz w:val="32"/>
          <w:szCs w:val="32"/>
        </w:rPr>
      </w:pPr>
      <w:r>
        <w:rPr>
          <w:rFonts w:hint="eastAsia" w:ascii="黑体" w:eastAsia="黑体"/>
          <w:color w:val="000000"/>
          <w:sz w:val="32"/>
          <w:szCs w:val="32"/>
        </w:rPr>
        <w:t>三、日常新闻报道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（一）重要会议和活动的宣传报道由</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组织实施，相关处室配合。凡以局名义组织召开的年度工作会议、季度工作例会、综合性会议，以</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为主组织宣传，视情由相关处室提供相关内容材料，共同配合</w:t>
      </w:r>
      <w:r>
        <w:rPr>
          <w:rFonts w:hint="eastAsia" w:ascii="仿宋_GB2312"/>
          <w:color w:val="000000"/>
          <w:sz w:val="32"/>
          <w:szCs w:val="32"/>
          <w:lang w:eastAsia="zh-CN"/>
        </w:rPr>
        <w:t>完成</w:t>
      </w:r>
      <w:r>
        <w:rPr>
          <w:rFonts w:hint="eastAsia" w:ascii="仿宋_GB2312" w:eastAsia="仿宋_GB2312"/>
          <w:color w:val="000000"/>
          <w:sz w:val="32"/>
          <w:szCs w:val="32"/>
        </w:rPr>
        <w:t>。各处室承办的工作会议或活动，如需宣传，应事先通知</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，协商有关报道工作，并准备新闻通稿及相关材料。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 w:firstLineChars="200"/>
        <w:textAlignment w:val="auto"/>
        <w:outlineLvl w:val="9"/>
        <w:rPr>
          <w:rFonts w:hint="eastAsia" w:ascii="仿宋_GB2312" w:eastAsia="仿宋_GB2312"/>
          <w:color w:val="000000"/>
          <w:spacing w:val="-2"/>
          <w:sz w:val="32"/>
          <w:szCs w:val="32"/>
        </w:rPr>
      </w:pPr>
      <w:r>
        <w:rPr>
          <w:rFonts w:hint="eastAsia" w:ascii="仿宋_GB2312" w:eastAsia="仿宋_GB2312"/>
          <w:color w:val="000000"/>
          <w:spacing w:val="-2"/>
          <w:sz w:val="32"/>
          <w:szCs w:val="32"/>
        </w:rPr>
        <w:t>（二）国内媒体记者采访局领导，由</w:t>
      </w:r>
      <w:r>
        <w:rPr>
          <w:rFonts w:hint="eastAsia" w:ascii="仿宋_GB2312" w:eastAsia="仿宋_GB2312"/>
          <w:color w:val="000000"/>
          <w:spacing w:val="-2"/>
          <w:sz w:val="32"/>
          <w:szCs w:val="32"/>
          <w:lang w:eastAsia="zh-CN"/>
        </w:rPr>
        <w:t>综合处</w:t>
      </w:r>
      <w:r>
        <w:rPr>
          <w:rFonts w:hint="eastAsia" w:ascii="仿宋_GB2312" w:eastAsia="仿宋_GB2312"/>
          <w:color w:val="000000"/>
          <w:spacing w:val="-2"/>
          <w:sz w:val="32"/>
          <w:szCs w:val="32"/>
        </w:rPr>
        <w:t>报请局领导同意后予以安排。根据采访提纲，由相关处室提供素材。国内媒体记者采访各处室，由</w:t>
      </w:r>
      <w:r>
        <w:rPr>
          <w:rFonts w:hint="eastAsia" w:ascii="仿宋_GB2312" w:eastAsia="仿宋_GB2312"/>
          <w:color w:val="000000"/>
          <w:spacing w:val="-2"/>
          <w:sz w:val="32"/>
          <w:szCs w:val="32"/>
          <w:lang w:eastAsia="zh-CN"/>
        </w:rPr>
        <w:t>综合处</w:t>
      </w:r>
      <w:r>
        <w:rPr>
          <w:rFonts w:hint="eastAsia" w:ascii="仿宋_GB2312" w:eastAsia="仿宋_GB2312"/>
          <w:color w:val="000000"/>
          <w:spacing w:val="-2"/>
          <w:sz w:val="32"/>
          <w:szCs w:val="32"/>
        </w:rPr>
        <w:t>与相关处室协商后，按采访通知单办理。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（三）局机关任何个人，未经局领导批准，不得接受任何形式、任何媒体的记者采访。经审批安排接受记者采访的人员，在向新闻媒体披露信息时，必须尊重事实，遵守保密等有关规定。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黑体" w:eastAsia="黑体"/>
          <w:color w:val="000000"/>
          <w:sz w:val="32"/>
          <w:szCs w:val="32"/>
        </w:rPr>
      </w:pPr>
      <w:r>
        <w:rPr>
          <w:rFonts w:hint="eastAsia" w:ascii="黑体" w:eastAsia="黑体"/>
          <w:color w:val="000000"/>
          <w:sz w:val="32"/>
          <w:szCs w:val="32"/>
        </w:rPr>
        <w:t>四、重大突发事件新闻报道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凡突发性重大事件、涉外事件、社会影响面大的事件报道，由区局统一管理，实行全系统重要信息统一发布。区局根据药品安全突发事件的特点，制定突发事件新闻管理应急预案，保障应急状况下不同层级新闻发布及时、准确、有序，主动引导媒体，维护社会稳定，妥善有效处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（二）发生重大突发事件后，启动新闻管理应急预案，根据程序要求，提出策划方案，收集相关情况。区局应在发布新闻通稿或召开新闻发布会前，根据突发事件性质和紧急程度将有关情况报自治区</w:t>
      </w:r>
      <w:r>
        <w:rPr>
          <w:rFonts w:hint="eastAsia" w:ascii="仿宋_GB2312" w:eastAsia="仿宋_GB2312"/>
          <w:color w:val="000000"/>
          <w:sz w:val="32"/>
          <w:szCs w:val="32"/>
          <w:lang w:eastAsia="zh-CN"/>
        </w:rPr>
        <w:t>人民</w:t>
      </w:r>
      <w:r>
        <w:rPr>
          <w:rFonts w:hint="eastAsia" w:ascii="仿宋_GB2312" w:eastAsia="仿宋_GB2312"/>
          <w:color w:val="000000"/>
          <w:sz w:val="32"/>
          <w:szCs w:val="32"/>
        </w:rPr>
        <w:t>政府和国家局审定并批准后，组织新闻发布</w:t>
      </w:r>
      <w:r>
        <w:rPr>
          <w:rFonts w:hint="eastAsia" w:ascii="仿宋_GB2312"/>
          <w:color w:val="000000"/>
          <w:sz w:val="32"/>
          <w:szCs w:val="32"/>
          <w:lang w:eastAsia="zh-CN"/>
        </w:rPr>
        <w:t>，</w:t>
      </w:r>
      <w:r>
        <w:rPr>
          <w:rFonts w:hint="eastAsia" w:ascii="仿宋_GB2312" w:eastAsia="仿宋_GB2312"/>
          <w:color w:val="000000"/>
          <w:sz w:val="32"/>
          <w:szCs w:val="32"/>
        </w:rPr>
        <w:t>并视内容通报相关部门和有关市、县（市、区）局。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黑体" w:eastAsia="黑体"/>
          <w:color w:val="000000"/>
          <w:sz w:val="32"/>
          <w:szCs w:val="32"/>
        </w:rPr>
      </w:pPr>
      <w:r>
        <w:rPr>
          <w:rFonts w:hint="eastAsia" w:ascii="黑体" w:eastAsia="黑体"/>
          <w:color w:val="000000"/>
          <w:sz w:val="32"/>
          <w:szCs w:val="32"/>
        </w:rPr>
        <w:t>五、新闻稿件审核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（一）区局领导的署名文章、专访文章等，发表前，应由</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送局</w:t>
      </w:r>
      <w:r>
        <w:rPr>
          <w:rFonts w:hint="eastAsia" w:ascii="仿宋_GB2312"/>
          <w:color w:val="000000"/>
          <w:sz w:val="32"/>
          <w:szCs w:val="32"/>
          <w:lang w:eastAsia="zh-CN"/>
        </w:rPr>
        <w:t>主要</w:t>
      </w:r>
      <w:r>
        <w:rPr>
          <w:rFonts w:hint="eastAsia" w:ascii="仿宋_GB2312" w:eastAsia="仿宋_GB2312"/>
          <w:color w:val="000000"/>
          <w:sz w:val="32"/>
          <w:szCs w:val="32"/>
        </w:rPr>
        <w:t>领导审定</w:t>
      </w:r>
      <w:r>
        <w:rPr>
          <w:rFonts w:hint="eastAsia" w:ascii="仿宋_GB2312" w:eastAsia="仿宋_GB2312"/>
          <w:color w:val="000000"/>
          <w:sz w:val="32"/>
          <w:szCs w:val="32"/>
          <w:lang w:eastAsia="zh-CN"/>
        </w:rPr>
        <w:t>，并按规定进行报备</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（二）对敏感问题和突发性事件的报道，凡涉及的基本事实、重要</w:t>
      </w:r>
      <w:r>
        <w:rPr>
          <w:rFonts w:hint="eastAsia" w:ascii="仿宋_GB2312" w:eastAsia="仿宋_GB2312"/>
          <w:color w:val="000000"/>
          <w:sz w:val="32"/>
          <w:szCs w:val="32"/>
          <w:lang w:eastAsia="zh-CN"/>
        </w:rPr>
        <w:t>数据</w:t>
      </w:r>
      <w:r>
        <w:rPr>
          <w:rFonts w:hint="eastAsia" w:ascii="仿宋_GB2312" w:eastAsia="仿宋_GB2312"/>
          <w:color w:val="000000"/>
          <w:sz w:val="32"/>
          <w:szCs w:val="32"/>
        </w:rPr>
        <w:t>，相关处室要进行核实，统一口径，做到准确无误，并由</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送局领导审定后，方可公开</w:t>
      </w:r>
      <w:r>
        <w:rPr>
          <w:rFonts w:hint="eastAsia" w:ascii="仿宋_GB2312" w:eastAsia="仿宋_GB2312"/>
          <w:color w:val="000000"/>
          <w:sz w:val="32"/>
          <w:szCs w:val="32"/>
          <w:lang w:eastAsia="zh-CN"/>
        </w:rPr>
        <w:t>发布</w:t>
      </w:r>
      <w:r>
        <w:rPr>
          <w:rFonts w:hint="eastAsia" w:asci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（三）新闻媒体通过</w:t>
      </w:r>
      <w:r>
        <w:rPr>
          <w:rFonts w:hint="eastAsia" w:ascii="仿宋_GB2312" w:eastAsia="仿宋_GB2312"/>
          <w:color w:val="000000"/>
          <w:sz w:val="32"/>
          <w:szCs w:val="32"/>
          <w:lang w:eastAsia="zh-CN"/>
        </w:rPr>
        <w:t>综合处</w:t>
      </w:r>
      <w:r>
        <w:rPr>
          <w:rFonts w:hint="eastAsia" w:ascii="仿宋_GB2312" w:eastAsia="仿宋_GB2312"/>
          <w:color w:val="000000"/>
          <w:sz w:val="32"/>
          <w:szCs w:val="32"/>
        </w:rPr>
        <w:t>安排采访后撰写的一般新闻稿件，由</w:t>
      </w:r>
      <w:r>
        <w:rPr>
          <w:rFonts w:hint="eastAsia" w:ascii="仿宋_GB2312" w:eastAsia="仿宋_GB2312"/>
          <w:color w:val="000000"/>
          <w:sz w:val="32"/>
          <w:szCs w:val="32"/>
          <w:lang w:eastAsia="zh-CN"/>
        </w:rPr>
        <w:t>综合处协调</w:t>
      </w:r>
      <w:r>
        <w:rPr>
          <w:rFonts w:hint="eastAsia" w:ascii="仿宋_GB2312" w:eastAsia="仿宋_GB2312"/>
          <w:color w:val="000000"/>
          <w:sz w:val="32"/>
          <w:szCs w:val="32"/>
        </w:rPr>
        <w:t>相关处室负责人审定；重要稿件报请局领导审定。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lang w:eastAsia="zh-CN"/>
        </w:rPr>
      </w:pPr>
      <w:r>
        <w:rPr>
          <w:rFonts w:hint="eastAsia" w:ascii="仿宋_GB2312"/>
          <w:color w:val="000000"/>
          <w:sz w:val="32"/>
          <w:szCs w:val="32"/>
          <w:lang w:eastAsia="zh-CN"/>
        </w:rPr>
        <w:t>（四）各处室、各单位自拟稿件需向新闻媒体提供或公开的，由拟稿处室主要负责人审核后，经综合处核稿并报请分管领导审批后发布。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黑体" w:eastAsia="黑体"/>
          <w:color w:val="000000"/>
          <w:sz w:val="32"/>
          <w:szCs w:val="32"/>
        </w:rPr>
      </w:pPr>
      <w:r>
        <w:rPr>
          <w:rFonts w:hint="eastAsia" w:ascii="黑体" w:eastAsia="黑体"/>
          <w:color w:val="000000"/>
          <w:sz w:val="32"/>
          <w:szCs w:val="32"/>
        </w:rPr>
        <w:t>六、表彰奖励</w:t>
      </w:r>
      <w:r>
        <w:rPr>
          <w:rFonts w:hint="eastAsia" w:ascii="黑体" w:eastAsia="黑体"/>
          <w:color w:val="000000"/>
          <w:sz w:val="32"/>
          <w:szCs w:val="32"/>
          <w:lang w:eastAsia="zh-CN"/>
        </w:rPr>
        <w:t>和</w:t>
      </w:r>
      <w:r>
        <w:rPr>
          <w:rFonts w:hint="eastAsia" w:ascii="黑体" w:eastAsia="黑体"/>
          <w:color w:val="000000"/>
          <w:sz w:val="32"/>
          <w:szCs w:val="32"/>
        </w:rPr>
        <w:t>责任追究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4" w:firstLineChars="200"/>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新闻宣传工作</w:t>
      </w:r>
      <w:r>
        <w:rPr>
          <w:rFonts w:hint="eastAsia" w:ascii="仿宋_GB2312" w:eastAsia="仿宋_GB2312"/>
          <w:color w:val="000000"/>
          <w:sz w:val="32"/>
          <w:szCs w:val="32"/>
          <w:lang w:eastAsia="zh-CN"/>
        </w:rPr>
        <w:t>纳入对各处室、各单位年度综合考核，具体由综合处</w:t>
      </w:r>
      <w:r>
        <w:rPr>
          <w:rFonts w:hint="eastAsia" w:ascii="仿宋_GB2312"/>
          <w:color w:val="000000"/>
          <w:sz w:val="32"/>
          <w:szCs w:val="32"/>
          <w:lang w:eastAsia="zh-CN"/>
        </w:rPr>
        <w:t>商人事处</w:t>
      </w:r>
      <w:r>
        <w:rPr>
          <w:rFonts w:hint="eastAsia" w:ascii="仿宋_GB2312" w:eastAsia="仿宋_GB2312"/>
          <w:color w:val="000000"/>
          <w:sz w:val="32"/>
          <w:szCs w:val="32"/>
          <w:lang w:eastAsia="zh-CN"/>
        </w:rPr>
        <w:t>制定</w:t>
      </w:r>
      <w:r>
        <w:rPr>
          <w:rFonts w:hint="eastAsia" w:ascii="仿宋_GB2312" w:eastAsia="仿宋_GB2312"/>
          <w:color w:val="000000"/>
          <w:sz w:val="32"/>
          <w:szCs w:val="32"/>
        </w:rPr>
        <w:t>考核</w:t>
      </w:r>
      <w:r>
        <w:rPr>
          <w:rFonts w:hint="eastAsia" w:ascii="仿宋_GB2312" w:eastAsia="仿宋_GB2312"/>
          <w:color w:val="000000"/>
          <w:sz w:val="32"/>
          <w:szCs w:val="32"/>
          <w:lang w:eastAsia="zh-CN"/>
        </w:rPr>
        <w:t>细则并做好考核赋分工作</w:t>
      </w:r>
      <w:r>
        <w:rPr>
          <w:rFonts w:hint="eastAsia" w:ascii="仿宋_GB2312" w:eastAsia="仿宋_GB2312"/>
          <w:color w:val="000000"/>
          <w:sz w:val="32"/>
          <w:szCs w:val="32"/>
        </w:rPr>
        <w:t>。</w:t>
      </w:r>
      <w:r>
        <w:rPr>
          <w:rFonts w:hint="eastAsia" w:ascii="仿宋_GB2312" w:eastAsia="仿宋_GB2312"/>
          <w:color w:val="000000"/>
          <w:sz w:val="32"/>
          <w:szCs w:val="32"/>
          <w:lang w:eastAsia="zh-CN"/>
        </w:rPr>
        <w:t>各处室、各单位和</w:t>
      </w:r>
      <w:r>
        <w:rPr>
          <w:rFonts w:hint="eastAsia" w:ascii="仿宋_GB2312"/>
          <w:color w:val="000000"/>
          <w:sz w:val="32"/>
          <w:szCs w:val="32"/>
          <w:lang w:eastAsia="zh-CN"/>
        </w:rPr>
        <w:t>全体</w:t>
      </w:r>
      <w:r>
        <w:rPr>
          <w:rFonts w:hint="eastAsia" w:ascii="仿宋_GB2312" w:eastAsia="仿宋_GB2312"/>
          <w:color w:val="000000"/>
          <w:sz w:val="32"/>
          <w:szCs w:val="32"/>
          <w:lang w:eastAsia="zh-CN"/>
        </w:rPr>
        <w:t>干部必须</w:t>
      </w:r>
      <w:r>
        <w:rPr>
          <w:rFonts w:hint="eastAsia" w:ascii="仿宋_GB2312" w:eastAsia="仿宋_GB2312"/>
          <w:color w:val="000000"/>
          <w:sz w:val="32"/>
          <w:szCs w:val="32"/>
        </w:rPr>
        <w:t>严格遵守新闻宣传有关规定和保密纪律。对未按相关程序、未经批准的各种新闻宣传行为或者违反保密纪律造成不良影响的单位和个人，按有关规定追究其相应责任。</w:t>
      </w:r>
    </w:p>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_GB2312">
    <w:altName w:val="微软雅黑"/>
    <w:panose1 w:val="00000000000000000000"/>
    <w:charset w:val="00"/>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迷你简小标宋">
    <w:panose1 w:val="03000509000000000000"/>
    <w:charset w:val="86"/>
    <w:family w:val="auto"/>
    <w:pitch w:val="default"/>
    <w:sig w:usb0="00000001" w:usb1="080E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D7E44F8"/>
    <w:rsid w:val="56462676"/>
    <w:rsid w:val="776D2FD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6">
    <w:name w:val="样式6"/>
    <w:basedOn w:val="2"/>
    <w:uiPriority w:val="0"/>
    <w:rPr>
      <w:rFonts w:ascii="Times New Roman" w:hAnsi="Times New Roman" w:eastAsia="方正小标宋_GBK" w:cs="Times New Roman"/>
      <w:b w:val="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wq</cp:lastModifiedBy>
  <dcterms:modified xsi:type="dcterms:W3CDTF">2019-07-12T07:41:33Z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