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_GBK" w:hAnsi="方正小标宋_GBK" w:eastAsia="方正小标宋_GBK" w:cs="方正小标宋_GBK"/>
          <w:b w:val="0"/>
          <w:bCs w:val="0"/>
          <w:sz w:val="44"/>
          <w:szCs w:val="44"/>
          <w:lang w:eastAsia="zh-CN"/>
        </w:rPr>
      </w:pPr>
      <w:bookmarkStart w:id="0" w:name="_GoBack"/>
      <w:r>
        <w:rPr>
          <w:rFonts w:hint="eastAsia" w:ascii="方正小标宋_GBK" w:hAnsi="方正小标宋_GBK" w:eastAsia="方正小标宋_GBK" w:cs="方正小标宋_GBK"/>
          <w:b w:val="0"/>
          <w:bCs w:val="0"/>
          <w:sz w:val="44"/>
          <w:szCs w:val="44"/>
          <w:lang w:eastAsia="zh-CN"/>
        </w:rPr>
        <w:t>自治区药品监督管理局公文处理工作实施办法</w:t>
      </w:r>
    </w:p>
    <w:bookmarkEnd w:id="0"/>
    <w:p>
      <w:pPr>
        <w:pStyle w:val="3"/>
        <w:widowControl w:val="0"/>
        <w:spacing w:before="0" w:beforeAutospacing="0" w:after="0" w:afterAutospacing="0" w:line="500" w:lineRule="exact"/>
        <w:ind w:firstLine="544" w:firstLineChars="200"/>
        <w:jc w:val="center"/>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eastAsia="zh-CN"/>
        </w:rPr>
        <w:t>第一条</w:t>
      </w:r>
      <w:r>
        <w:rPr>
          <w:rFonts w:hint="eastAsia"/>
          <w:lang w:val="en-US" w:eastAsia="zh-CN"/>
        </w:rPr>
        <w:t xml:space="preserve">  为推进本局公文处理工作科学化、制度化、规范化，根据《党政机关公文处理工作条例》，结合本局工作实际，制定本办法，适用于局机关、直属各事业单位公文处理工作。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第二条</w:t>
      </w:r>
      <w:r>
        <w:rPr>
          <w:rFonts w:hint="eastAsia"/>
          <w:lang w:val="en-US" w:eastAsia="zh-CN"/>
        </w:rPr>
        <w:t xml:space="preserve">  局机关各处室和直属各事业单位每年组织本处室单位人员专门学习《党政机关公文处理工作条例》（中办发〔2012〕14号）、《党政机关公文格式》（GB/T9704-2012）和本办法等公文处理业务知识不少于2次，提高公职人员公文处理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第三条</w:t>
      </w:r>
      <w:r>
        <w:rPr>
          <w:rFonts w:hint="eastAsia"/>
          <w:lang w:val="en-US" w:eastAsia="zh-CN"/>
        </w:rPr>
        <w:t xml:space="preserve">  综合处负责局机关的公文管理工作。政策法规处负责制发文件的合法合规性、公平竞争性审查。制发重要文件应当经局务会或党组会议研究审定。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第四条</w:t>
      </w:r>
      <w:r>
        <w:rPr>
          <w:rFonts w:hint="eastAsia"/>
          <w:lang w:val="en-US" w:eastAsia="zh-CN"/>
        </w:rPr>
        <w:t xml:space="preserve">  制发公文一般按照“拟稿人起草——处室主要负责人初核——处室负责人向分管局领导当面汇报沟通——拟稿人修改誊清——处室组织起草政策解读材料——政策法规处审查—综合处审核——局领导签发（党组文件和重要行政文件由局主要领导签发）——拟稿处室组织校对——综合处编号排版用印——拟稿人分发并挂网公开”的程序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lang w:val="en-US" w:eastAsia="zh-CN"/>
        </w:rPr>
        <w:t>为切实减轻基层负担，除特别紧急等事项外，原则上每周星期五和法定节假日放假前1个工作日不向基层发文。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第五条</w:t>
      </w:r>
      <w:r>
        <w:rPr>
          <w:rFonts w:hint="eastAsia"/>
          <w:lang w:val="en-US" w:eastAsia="zh-CN"/>
        </w:rPr>
        <w:t xml:space="preserve">  收文办理一般按照“综合处签收登记——综合处提出初办意见——呈送局领导签阅并提出具体办理要求后交综合处以适当方式分送承办处室——承办处室阅研办理——办理完结后送综合处存档备查”的程序办理。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lang w:val="en-US" w:eastAsia="zh-CN"/>
        </w:rPr>
        <w:t>禁止公文“体外循环”，局领导、各处室负责人或工作人员开会、出差、下乡带回的各类文件，须统一交综合处按收文程序办理，未及时交综合处收文造成事项延误的，由带文人员负责；未经综合处收文处理的文件，局领导不签署办理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第六条</w:t>
      </w:r>
      <w:r>
        <w:rPr>
          <w:rFonts w:hint="eastAsia"/>
          <w:lang w:val="en-US" w:eastAsia="zh-CN"/>
        </w:rPr>
        <w:t xml:space="preserve">  公文处理各环节责任人须认真负责，制发公文应做到规范严谨、合法合规、精炼简洁、切实可行，收文办理应做到准确、及时、高效。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lang w:val="en-US" w:eastAsia="zh-CN"/>
        </w:rPr>
        <w:t>拟稿人是制发公文的全程经办人，拟制公文尤其是行政规范性文件时须同步起草解读材料和对外宣传口径材料，严格按第四条规定程序，完整履行签发、分发、上网公开等手续，对本人所拟制公文中的文字、数据、引文等的准确性负主要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lang w:val="en-US" w:eastAsia="zh-CN"/>
        </w:rPr>
        <w:t>拟文处室（承办处室）是制发、承办公文的责任主体，主要负责人对本处室制发、承办的公文负总责，起草重要文件应当组织本处室集体讨论，对所制发文件的必要性、合法合规性、可行性和承办公文的及时性、完整性、准确性等负主要责任，对制发公文的准确性负领导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rPr>
      </w:pPr>
      <w:r>
        <w:rPr>
          <w:rFonts w:hint="eastAsia"/>
          <w:lang w:val="en-US" w:eastAsia="zh-CN"/>
        </w:rPr>
        <w:t>综合处是局机关公文管理部门，</w:t>
      </w:r>
      <w:r>
        <w:rPr>
          <w:rFonts w:hint="eastAsia"/>
        </w:rPr>
        <w:t>对</w:t>
      </w:r>
      <w:r>
        <w:rPr>
          <w:rFonts w:hint="eastAsia"/>
          <w:lang w:eastAsia="zh-CN"/>
        </w:rPr>
        <w:t>局党组和局机关制发各类公文（执法文书除外）的</w:t>
      </w:r>
      <w:r>
        <w:rPr>
          <w:rFonts w:hint="eastAsia"/>
        </w:rPr>
        <w:t>文种使用、</w:t>
      </w:r>
      <w:r>
        <w:rPr>
          <w:rFonts w:hint="eastAsia"/>
          <w:lang w:eastAsia="zh-CN"/>
        </w:rPr>
        <w:t>行文规则</w:t>
      </w:r>
      <w:r>
        <w:rPr>
          <w:rFonts w:hint="eastAsia"/>
        </w:rPr>
        <w:t>、公文格式、审签程序</w:t>
      </w:r>
      <w:r>
        <w:rPr>
          <w:rFonts w:hint="eastAsia"/>
          <w:lang w:eastAsia="zh-CN"/>
        </w:rPr>
        <w:t>和接收公文的签收、登记、初办、传送、催办</w:t>
      </w:r>
      <w:r>
        <w:rPr>
          <w:rFonts w:hint="eastAsia"/>
        </w:rPr>
        <w:t>等方面的问题负主要责任。</w:t>
      </w:r>
      <w:r>
        <w:rPr>
          <w:rFonts w:hint="eastAsia"/>
          <w:lang w:eastAsia="zh-CN"/>
        </w:rPr>
        <w:t>对公文制发数量负管理责任；对来文办理负责分送、督办、催办，</w:t>
      </w:r>
      <w:r>
        <w:rPr>
          <w:rFonts w:hint="eastAsia"/>
          <w:lang w:val="en-US" w:eastAsia="zh-CN"/>
        </w:rPr>
        <w:t>自收到来文到呈送局领导签阅、收到局领导批示到分送承办处室办理一般不超过4小时，紧急公文、上级领导重要指示批示应当即收即送。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eastAsia="zh-CN"/>
        </w:rPr>
      </w:pPr>
      <w:r>
        <w:rPr>
          <w:rFonts w:hint="eastAsia"/>
          <w:lang w:eastAsia="zh-CN"/>
        </w:rPr>
        <w:t>政策法规处是局机关公文法制审查部门，重点组织对局党组、局机关制发的各类党内规范性文件、行政规范性文件、政策性文件进行合法性、合规性、公平竞争性等方面的审查，履行规范性文件报备职责。对无政策解读材料的文件应予拒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lang w:eastAsia="zh-CN"/>
        </w:rPr>
        <w:t>局领导审签各类文件应当认真负责、从严把关，对签发文件的政治性和经办文件的政策性负主要责任，对签发文件的质量、数量及落实情况负领导责任。阅签来文应当即送即阅、留存一般不超过</w:t>
      </w:r>
      <w:r>
        <w:rPr>
          <w:rFonts w:hint="eastAsia"/>
          <w:lang w:val="en-US" w:eastAsia="zh-CN"/>
        </w:rPr>
        <w:t>4小时，</w:t>
      </w:r>
      <w:r>
        <w:rPr>
          <w:rFonts w:hint="eastAsia"/>
          <w:lang w:eastAsia="zh-CN"/>
        </w:rPr>
        <w:t>并签署明确的办理意见和自己的姓名，禁止只画圈、不表态等官僚主义作风，</w:t>
      </w:r>
      <w:r>
        <w:rPr>
          <w:rFonts w:hint="eastAsia"/>
          <w:lang w:val="en-US" w:eastAsia="zh-CN"/>
        </w:rPr>
        <w:t>对自己在各类来文上的批办意见和要求应当跟踪督促、确保落实。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第七条</w:t>
      </w:r>
      <w:r>
        <w:rPr>
          <w:rFonts w:hint="eastAsia"/>
          <w:lang w:val="en-US" w:eastAsia="zh-CN"/>
        </w:rPr>
        <w:t xml:space="preserve">  各处室制发文件、办理来文要严格执行中央八项规定精神，切实转变文风、控制字数和发文数量。除特殊要求外，上行文正文一般不超过2000字，平行文和下行文正文一般不超过5000字；禁止不加研究就简单地照抄照转上级来文，禁止搞以文件落实文件等形式主义；向国家局各司局等上级机关报送经验交流材料、阶段性工作进展汇报材料等应报请分管局领导审阅同意后直接报送，一般不以正式文件（包括函件）行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b/>
          <w:bCs/>
          <w:lang w:val="en-US" w:eastAsia="zh-CN"/>
        </w:rPr>
        <w:t>第八条</w:t>
      </w:r>
      <w:r>
        <w:rPr>
          <w:rFonts w:hint="eastAsia"/>
          <w:lang w:val="en-US" w:eastAsia="zh-CN"/>
        </w:rPr>
        <w:t xml:space="preserve">  各处室制发政策性、规范性文件必须同步起草政策解读材料和宣传口径材料，并报经局党组会议或局务会议审议通过后按发文程序办理。局领导、综合处、政策法规处应当拒签没有政策解读材料和宣传口径材料的规范性文件。未经局领导审签的文件，综合处不得编号、用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b/>
          <w:bCs/>
          <w:lang w:val="en-US" w:eastAsia="zh-CN"/>
        </w:rPr>
        <w:t>第九条</w:t>
      </w:r>
      <w:r>
        <w:rPr>
          <w:rFonts w:hint="eastAsia"/>
          <w:lang w:val="en-US" w:eastAsia="zh-CN"/>
        </w:rPr>
        <w:t xml:space="preserve">  </w:t>
      </w:r>
      <w:r>
        <w:rPr>
          <w:rFonts w:hint="eastAsia" w:ascii="仿宋_GB2312" w:hAnsi="仿宋_GB2312" w:eastAsia="仿宋_GB2312" w:cs="仿宋_GB2312"/>
          <w:sz w:val="32"/>
          <w:szCs w:val="32"/>
          <w:lang w:eastAsia="zh-CN"/>
        </w:rPr>
        <w:t>报自治区党委、人大、政府、政协及其办公厅和国家市场监管总局、国家药监局</w:t>
      </w:r>
      <w:r>
        <w:rPr>
          <w:rFonts w:hint="eastAsia" w:ascii="仿宋_GB2312" w:hAnsi="仿宋_GB2312" w:cs="仿宋_GB2312"/>
          <w:sz w:val="32"/>
          <w:szCs w:val="32"/>
          <w:lang w:eastAsia="zh-CN"/>
        </w:rPr>
        <w:t>、自治区市场监管厅</w:t>
      </w:r>
      <w:r>
        <w:rPr>
          <w:rFonts w:hint="eastAsia" w:ascii="仿宋_GB2312" w:hAnsi="仿宋_GB2312" w:eastAsia="仿宋_GB2312" w:cs="仿宋_GB2312"/>
          <w:sz w:val="32"/>
          <w:szCs w:val="32"/>
          <w:lang w:eastAsia="zh-CN"/>
        </w:rPr>
        <w:t>的请示、报告、专报等，局党组发文、</w:t>
      </w:r>
      <w:r>
        <w:rPr>
          <w:rFonts w:hint="eastAsia" w:ascii="仿宋_GB2312" w:hAnsi="仿宋_GB2312" w:cs="仿宋_GB2312"/>
          <w:sz w:val="32"/>
          <w:szCs w:val="32"/>
          <w:lang w:eastAsia="zh-CN"/>
        </w:rPr>
        <w:t>重要</w:t>
      </w:r>
      <w:r>
        <w:rPr>
          <w:rFonts w:hint="eastAsia" w:ascii="仿宋_GB2312" w:hAnsi="仿宋_GB2312" w:eastAsia="仿宋_GB2312" w:cs="仿宋_GB2312"/>
          <w:sz w:val="32"/>
          <w:szCs w:val="32"/>
          <w:lang w:eastAsia="zh-CN"/>
        </w:rPr>
        <w:t>局发文，由我局主办需与其他单位联合</w:t>
      </w:r>
      <w:r>
        <w:rPr>
          <w:rFonts w:hint="eastAsia" w:ascii="仿宋_GB2312" w:hAnsi="仿宋_GB2312" w:cs="仿宋_GB2312"/>
          <w:sz w:val="32"/>
          <w:szCs w:val="32"/>
          <w:lang w:eastAsia="zh-CN"/>
        </w:rPr>
        <w:t>印</w:t>
      </w:r>
      <w:r>
        <w:rPr>
          <w:rFonts w:hint="eastAsia" w:ascii="仿宋_GB2312" w:hAnsi="仿宋_GB2312" w:eastAsia="仿宋_GB2312" w:cs="仿宋_GB2312"/>
          <w:sz w:val="32"/>
          <w:szCs w:val="32"/>
          <w:lang w:eastAsia="zh-CN"/>
        </w:rPr>
        <w:t>发的文件，经分管局领导审核后由主要领导签发；</w:t>
      </w:r>
      <w:r>
        <w:rPr>
          <w:rFonts w:hint="eastAsia" w:ascii="仿宋_GB2312" w:hAnsi="仿宋_GB2312" w:cs="仿宋_GB2312"/>
          <w:sz w:val="32"/>
          <w:szCs w:val="32"/>
          <w:lang w:eastAsia="zh-CN"/>
        </w:rPr>
        <w:t>各类规范性文件、</w:t>
      </w:r>
      <w:r>
        <w:rPr>
          <w:rFonts w:hint="eastAsia" w:ascii="仿宋_GB2312" w:hAnsi="仿宋_GB2312" w:eastAsia="仿宋_GB2312" w:cs="仿宋_GB2312"/>
          <w:sz w:val="32"/>
          <w:szCs w:val="32"/>
          <w:lang w:eastAsia="zh-CN"/>
        </w:rPr>
        <w:t>会议纪要</w:t>
      </w:r>
      <w:r>
        <w:rPr>
          <w:rFonts w:hint="eastAsia" w:ascii="仿宋_GB2312" w:hAnsi="仿宋_GB2312" w:cs="仿宋_GB2312"/>
          <w:sz w:val="32"/>
          <w:szCs w:val="32"/>
          <w:lang w:eastAsia="zh-CN"/>
        </w:rPr>
        <w:t>等</w:t>
      </w:r>
      <w:r>
        <w:rPr>
          <w:rFonts w:hint="eastAsia" w:ascii="仿宋_GB2312" w:hAnsi="仿宋_GB2312" w:eastAsia="仿宋_GB2312" w:cs="仿宋_GB2312"/>
          <w:sz w:val="32"/>
          <w:szCs w:val="32"/>
          <w:lang w:eastAsia="zh-CN"/>
        </w:rPr>
        <w:t>经分管局领导审核后由主要领导签发。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以局函形式制发用于安排部署单项工作的文件，商请或回复自治区各厅局委办（不含党委、人大、政府、政协办公厅）和国家市场监管总局</w:t>
      </w:r>
      <w:r>
        <w:rPr>
          <w:rFonts w:hint="eastAsia" w:ascii="仿宋_GB2312" w:hAnsi="仿宋_GB2312" w:cs="仿宋_GB2312"/>
          <w:sz w:val="32"/>
          <w:szCs w:val="32"/>
          <w:lang w:eastAsia="zh-CN"/>
        </w:rPr>
        <w:t>各司局</w:t>
      </w:r>
      <w:r>
        <w:rPr>
          <w:rFonts w:hint="eastAsia" w:ascii="仿宋_GB2312" w:hAnsi="仿宋_GB2312" w:eastAsia="仿宋_GB2312" w:cs="仿宋_GB2312"/>
          <w:sz w:val="32"/>
          <w:szCs w:val="32"/>
          <w:lang w:eastAsia="zh-CN"/>
        </w:rPr>
        <w:t>、国家药监局各司局的文件，由分管局领导签发，涉及</w:t>
      </w:r>
      <w:r>
        <w:rPr>
          <w:rFonts w:hint="eastAsia" w:ascii="仿宋_GB2312" w:hAnsi="仿宋_GB2312" w:eastAsia="仿宋_GB2312" w:cs="仿宋_GB2312"/>
          <w:sz w:val="32"/>
          <w:szCs w:val="32"/>
        </w:rPr>
        <w:t>重要</w:t>
      </w:r>
      <w:r>
        <w:rPr>
          <w:rFonts w:hint="eastAsia" w:ascii="仿宋_GB2312" w:hAnsi="仿宋_GB2312" w:eastAsia="仿宋_GB2312" w:cs="仿宋_GB2312"/>
          <w:sz w:val="32"/>
          <w:szCs w:val="32"/>
          <w:lang w:eastAsia="zh-CN"/>
        </w:rPr>
        <w:t>工作或分管局领导认为需要主要领导知悉的，报</w:t>
      </w:r>
      <w:r>
        <w:rPr>
          <w:rFonts w:hint="eastAsia" w:ascii="仿宋_GB2312" w:hAnsi="仿宋_GB2312" w:eastAsia="仿宋_GB2312" w:cs="仿宋_GB2312"/>
          <w:sz w:val="32"/>
          <w:szCs w:val="32"/>
        </w:rPr>
        <w:t>主要领导</w:t>
      </w:r>
      <w:r>
        <w:rPr>
          <w:rFonts w:hint="eastAsia" w:ascii="仿宋_GB2312" w:hAnsi="仿宋_GB2312" w:eastAsia="仿宋_GB2312" w:cs="仿宋_GB2312"/>
          <w:sz w:val="32"/>
          <w:szCs w:val="32"/>
          <w:lang w:eastAsia="zh-CN"/>
        </w:rPr>
        <w:t>阅后发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其他单位主办需与我局联合发文的，由综合处直接送分管局领导会签，分管局领导会签时应责成有关处室认真阅审。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lang w:val="en-US" w:eastAsia="zh-CN"/>
        </w:rPr>
      </w:pPr>
      <w:r>
        <w:rPr>
          <w:rFonts w:hint="eastAsia" w:ascii="仿宋_GB2312" w:hAnsi="仿宋_GB2312" w:cs="仿宋_GB2312"/>
          <w:sz w:val="32"/>
          <w:szCs w:val="32"/>
          <w:lang w:eastAsia="zh-CN"/>
        </w:rPr>
        <w:t>以</w:t>
      </w:r>
      <w:r>
        <w:rPr>
          <w:rFonts w:hint="eastAsia" w:ascii="仿宋_GB2312" w:hAnsi="仿宋_GB2312" w:eastAsia="仿宋_GB2312" w:cs="仿宋_GB2312"/>
          <w:sz w:val="32"/>
          <w:szCs w:val="32"/>
          <w:lang w:eastAsia="zh-CN"/>
        </w:rPr>
        <w:t>综合处</w:t>
      </w:r>
      <w:r>
        <w:rPr>
          <w:rFonts w:hint="eastAsia" w:ascii="仿宋_GB2312" w:hAnsi="仿宋_GB2312" w:cs="仿宋_GB2312"/>
          <w:sz w:val="32"/>
          <w:szCs w:val="32"/>
          <w:lang w:eastAsia="zh-CN"/>
        </w:rPr>
        <w:t>名义制发的</w:t>
      </w:r>
      <w:r>
        <w:rPr>
          <w:rFonts w:hint="eastAsia" w:ascii="仿宋_GB2312" w:hAnsi="仿宋_GB2312" w:eastAsia="仿宋_GB2312" w:cs="仿宋_GB2312"/>
          <w:sz w:val="32"/>
          <w:szCs w:val="32"/>
          <w:lang w:eastAsia="zh-CN"/>
        </w:rPr>
        <w:t>文件</w:t>
      </w:r>
      <w:r>
        <w:rPr>
          <w:rFonts w:hint="eastAsia" w:ascii="仿宋_GB2312" w:hAnsi="仿宋_GB2312" w:cs="仿宋_GB2312"/>
          <w:sz w:val="32"/>
          <w:szCs w:val="32"/>
          <w:lang w:eastAsia="zh-CN"/>
        </w:rPr>
        <w:t>经该文件内容所涉业务的</w:t>
      </w:r>
      <w:r>
        <w:rPr>
          <w:rFonts w:hint="eastAsia" w:ascii="仿宋_GB2312" w:hAnsi="仿宋_GB2312" w:eastAsia="仿宋_GB2312" w:cs="仿宋_GB2312"/>
          <w:sz w:val="32"/>
          <w:szCs w:val="32"/>
          <w:lang w:eastAsia="zh-CN"/>
        </w:rPr>
        <w:t>分管局领导</w:t>
      </w:r>
      <w:r>
        <w:rPr>
          <w:rFonts w:hint="eastAsia" w:ascii="仿宋_GB2312" w:hAnsi="仿宋_GB2312" w:cs="仿宋_GB2312"/>
          <w:sz w:val="32"/>
          <w:szCs w:val="32"/>
          <w:lang w:eastAsia="zh-CN"/>
        </w:rPr>
        <w:t>审定后，由综合处处长</w:t>
      </w:r>
      <w:r>
        <w:rPr>
          <w:rFonts w:hint="eastAsia" w:ascii="仿宋_GB2312" w:hAnsi="仿宋_GB2312" w:eastAsia="仿宋_GB2312" w:cs="仿宋_GB2312"/>
          <w:sz w:val="32"/>
          <w:szCs w:val="32"/>
        </w:rPr>
        <w:t>签发</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其他处室一律不得对外行文。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制发公文由</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统一确定发文规格。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发文对象仅限于</w:t>
      </w:r>
      <w:r>
        <w:rPr>
          <w:rFonts w:hint="eastAsia" w:ascii="仿宋_GB2312" w:hAnsi="仿宋_GB2312" w:eastAsia="仿宋_GB2312" w:cs="仿宋_GB2312"/>
          <w:sz w:val="32"/>
          <w:szCs w:val="32"/>
        </w:rPr>
        <w:t>局机关各处、直属各事业单位的</w:t>
      </w:r>
      <w:r>
        <w:rPr>
          <w:rFonts w:hint="eastAsia" w:ascii="仿宋_GB2312" w:hAnsi="仿宋_GB2312" w:cs="仿宋_GB2312"/>
          <w:sz w:val="32"/>
          <w:szCs w:val="32"/>
          <w:lang w:eastAsia="zh-CN"/>
        </w:rPr>
        <w:t>文件，</w:t>
      </w:r>
      <w:r>
        <w:rPr>
          <w:rFonts w:hint="eastAsia" w:ascii="仿宋_GB2312" w:hAnsi="仿宋_GB2312" w:eastAsia="仿宋_GB2312" w:cs="仿宋_GB2312"/>
          <w:sz w:val="32"/>
          <w:szCs w:val="32"/>
        </w:rPr>
        <w:t>内部管理制度，只</w:t>
      </w:r>
      <w:r>
        <w:rPr>
          <w:rFonts w:hint="eastAsia" w:ascii="仿宋_GB2312" w:hAnsi="仿宋_GB2312" w:cs="仿宋_GB2312"/>
          <w:sz w:val="32"/>
          <w:szCs w:val="32"/>
          <w:lang w:eastAsia="zh-CN"/>
        </w:rPr>
        <w:t>安排单项工作的文件</w:t>
      </w:r>
      <w:r>
        <w:rPr>
          <w:rFonts w:hint="eastAsia" w:ascii="仿宋_GB2312" w:hAnsi="仿宋_GB2312" w:eastAsia="仿宋_GB2312" w:cs="仿宋_GB2312"/>
          <w:sz w:val="32"/>
          <w:szCs w:val="32"/>
        </w:rPr>
        <w:t>，一般以局</w:t>
      </w:r>
      <w:r>
        <w:rPr>
          <w:rFonts w:hint="eastAsia" w:ascii="仿宋_GB2312" w:hAnsi="仿宋_GB2312" w:cs="仿宋_GB2312"/>
          <w:sz w:val="32"/>
          <w:szCs w:val="32"/>
          <w:lang w:eastAsia="zh-CN"/>
        </w:rPr>
        <w:t>函形式或综合处文件印发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开会、办班通知，回复自治区各厅局委办、</w:t>
      </w:r>
      <w:r>
        <w:rPr>
          <w:rFonts w:hint="eastAsia" w:ascii="仿宋_GB2312" w:hAnsi="仿宋_GB2312" w:cs="仿宋_GB2312"/>
          <w:sz w:val="32"/>
          <w:szCs w:val="32"/>
          <w:lang w:eastAsia="zh-CN"/>
        </w:rPr>
        <w:t>国家</w:t>
      </w:r>
      <w:r>
        <w:rPr>
          <w:rFonts w:hint="eastAsia" w:ascii="仿宋_GB2312" w:hAnsi="仿宋_GB2312" w:eastAsia="仿宋_GB2312" w:cs="仿宋_GB2312"/>
          <w:sz w:val="32"/>
          <w:szCs w:val="32"/>
        </w:rPr>
        <w:t>局各司局来文征求意见或向其报告单项工作情况等，一般以便函形式发文，单独编号，不计入发文总量。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用于案件交办督办、协查协办，移送查处违法案件，核查处置抽检不合格产品，与有关部门、单位及市县局协调案件办理等方面工作</w:t>
      </w:r>
      <w:r>
        <w:rPr>
          <w:rFonts w:hint="eastAsia" w:ascii="仿宋_GB2312" w:hAnsi="仿宋_GB2312" w:eastAsia="仿宋_GB2312" w:cs="仿宋_GB2312"/>
          <w:sz w:val="32"/>
          <w:szCs w:val="32"/>
          <w:lang w:eastAsia="zh-CN"/>
        </w:rPr>
        <w:t>的文件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使用“宁药监稽”发函代字</w:t>
      </w:r>
      <w:r>
        <w:rPr>
          <w:rFonts w:hint="eastAsia" w:ascii="仿宋_GB2312" w:hAnsi="仿宋_GB2312" w:cs="仿宋_GB2312"/>
          <w:sz w:val="32"/>
          <w:szCs w:val="32"/>
          <w:lang w:eastAsia="zh-CN"/>
        </w:rPr>
        <w:t>或执法文书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由稽查局负责</w:t>
      </w:r>
      <w:r>
        <w:rPr>
          <w:rFonts w:hint="eastAsia" w:ascii="仿宋_GB2312" w:hAnsi="仿宋_GB2312" w:eastAsia="仿宋_GB2312" w:cs="仿宋_GB2312"/>
          <w:sz w:val="32"/>
          <w:szCs w:val="32"/>
          <w:lang w:eastAsia="zh-CN"/>
        </w:rPr>
        <w:t>单独</w:t>
      </w:r>
      <w:r>
        <w:rPr>
          <w:rFonts w:hint="eastAsia" w:ascii="仿宋_GB2312" w:hAnsi="仿宋_GB2312" w:eastAsia="仿宋_GB2312" w:cs="仿宋_GB2312"/>
          <w:sz w:val="32"/>
          <w:szCs w:val="32"/>
        </w:rPr>
        <w:t>登记编号，按年度整理汇编并移交</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存档保管，发文程序参照本制度有关规定执行。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对</w:t>
      </w:r>
      <w:r>
        <w:rPr>
          <w:rFonts w:hint="eastAsia" w:ascii="仿宋_GB2312" w:hAnsi="仿宋_GB2312" w:cs="仿宋_GB2312"/>
          <w:sz w:val="32"/>
          <w:szCs w:val="32"/>
          <w:lang w:eastAsia="zh-CN"/>
        </w:rPr>
        <w:t>行政相对人</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eastAsia="zh-CN"/>
        </w:rPr>
        <w:t>行政处罚决定书、责令</w:t>
      </w:r>
      <w:r>
        <w:rPr>
          <w:rFonts w:hint="eastAsia" w:ascii="仿宋_GB2312" w:hAnsi="仿宋_GB2312" w:eastAsia="仿宋_GB2312" w:cs="仿宋_GB2312"/>
          <w:sz w:val="32"/>
          <w:szCs w:val="32"/>
        </w:rPr>
        <w:t>整改通知书、</w:t>
      </w:r>
      <w:r>
        <w:rPr>
          <w:rFonts w:hint="eastAsia" w:ascii="仿宋_GB2312" w:hAnsi="仿宋_GB2312" w:eastAsia="仿宋_GB2312" w:cs="仿宋_GB2312"/>
          <w:sz w:val="32"/>
          <w:szCs w:val="32"/>
          <w:lang w:eastAsia="zh-CN"/>
        </w:rPr>
        <w:t>风险</w:t>
      </w:r>
      <w:r>
        <w:rPr>
          <w:rFonts w:hint="eastAsia" w:ascii="仿宋_GB2312" w:hAnsi="仿宋_GB2312" w:eastAsia="仿宋_GB2312" w:cs="仿宋_GB2312"/>
          <w:sz w:val="32"/>
          <w:szCs w:val="32"/>
        </w:rPr>
        <w:t>警示函等涉及执法检查活动和执法监督活动的，统一以法律文书形式发布，不使用公文发文字号。</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稽查局</w:t>
      </w:r>
      <w:r>
        <w:rPr>
          <w:rFonts w:hint="eastAsia" w:ascii="仿宋_GB2312" w:hAnsi="仿宋_GB2312" w:eastAsia="仿宋_GB2312" w:cs="仿宋_GB2312"/>
          <w:sz w:val="32"/>
          <w:szCs w:val="32"/>
        </w:rPr>
        <w:t>作出规范，</w:t>
      </w:r>
      <w:r>
        <w:rPr>
          <w:rFonts w:hint="eastAsia" w:ascii="仿宋_GB2312" w:hAnsi="仿宋_GB2312" w:eastAsia="仿宋_GB2312" w:cs="仿宋_GB2312"/>
          <w:sz w:val="32"/>
          <w:szCs w:val="32"/>
          <w:lang w:eastAsia="zh-CN"/>
        </w:rPr>
        <w:t>独立登记</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，应尽量减少文书种类、严格制发程序、保证制发质量、全面公开信息。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制发公文由</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统一确定发文字号。以局党组名义制发的公文编号为“宁药监党发〔2xxx〕xx号”</w:t>
      </w:r>
      <w:r>
        <w:rPr>
          <w:rFonts w:hint="eastAsia" w:ascii="仿宋_GB2312" w:hAnsi="仿宋_GB2312" w:cs="仿宋_GB2312"/>
          <w:sz w:val="32"/>
          <w:szCs w:val="32"/>
          <w:lang w:eastAsia="zh-CN"/>
        </w:rPr>
        <w:t>或</w:t>
      </w:r>
      <w:r>
        <w:rPr>
          <w:rFonts w:hint="eastAsia" w:ascii="仿宋_GB2312" w:hAnsi="仿宋_GB2312" w:eastAsia="仿宋_GB2312" w:cs="仿宋_GB2312"/>
          <w:sz w:val="32"/>
          <w:szCs w:val="32"/>
        </w:rPr>
        <w:t>“宁药监党</w:t>
      </w:r>
      <w:r>
        <w:rPr>
          <w:rFonts w:hint="eastAsia" w:ascii="仿宋_GB2312" w:hAnsi="仿宋_GB2312" w:cs="仿宋_GB2312"/>
          <w:sz w:val="32"/>
          <w:szCs w:val="32"/>
          <w:lang w:eastAsia="zh-CN"/>
        </w:rPr>
        <w:t>函</w:t>
      </w:r>
      <w:r>
        <w:rPr>
          <w:rFonts w:hint="eastAsia" w:ascii="仿宋_GB2312" w:hAnsi="仿宋_GB2312" w:eastAsia="仿宋_GB2312" w:cs="仿宋_GB2312"/>
          <w:sz w:val="32"/>
          <w:szCs w:val="32"/>
        </w:rPr>
        <w:t>〔2xxx〕xx号”，行政规范性文件编号为“宁药监规发〔2xxx〕xx号”。上行文和涉及重大工作或综合性较强的局发文编号为“宁药监发〔2xxx〕xx号”</w:t>
      </w:r>
      <w:r>
        <w:rPr>
          <w:rFonts w:hint="eastAsia" w:ascii="仿宋_GB2312" w:hAnsi="仿宋_GB2312" w:cs="仿宋_GB2312"/>
          <w:sz w:val="32"/>
          <w:szCs w:val="32"/>
          <w:lang w:eastAsia="zh-CN"/>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宁药监函〔2xxx〕xx号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发文字号中可加处室规范简称</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rPr>
        <w:t>，但不改变发文顺序号。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各类规范性文件实行统一登记、统一编号、统一印发和有效期制度，由拟稿处室负责于印发后5个工作日内送</w:t>
      </w:r>
      <w:r>
        <w:rPr>
          <w:rFonts w:hint="eastAsia" w:ascii="仿宋_GB2312" w:hAnsi="仿宋_GB2312" w:eastAsia="仿宋_GB2312" w:cs="仿宋_GB2312"/>
          <w:sz w:val="32"/>
          <w:szCs w:val="32"/>
          <w:lang w:eastAsia="zh-CN"/>
        </w:rPr>
        <w:t>政策法规处</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规定和</w:t>
      </w:r>
      <w:r>
        <w:rPr>
          <w:rFonts w:hint="eastAsia" w:ascii="仿宋_GB2312" w:hAnsi="仿宋_GB2312" w:eastAsia="仿宋_GB2312" w:cs="仿宋_GB2312"/>
          <w:sz w:val="32"/>
          <w:szCs w:val="32"/>
        </w:rPr>
        <w:t>程序做好报备工作</w:t>
      </w:r>
      <w:r>
        <w:rPr>
          <w:rFonts w:hint="eastAsia" w:ascii="仿宋_GB2312" w:hAnsi="仿宋_GB2312" w:eastAsia="仿宋_GB2312" w:cs="仿宋_GB2312"/>
          <w:sz w:val="32"/>
          <w:szCs w:val="32"/>
          <w:lang w:eastAsia="zh-CN"/>
        </w:rPr>
        <w:t>。政策法规处</w:t>
      </w:r>
      <w:r>
        <w:rPr>
          <w:rFonts w:hint="eastAsia" w:ascii="仿宋_GB2312" w:hAnsi="仿宋_GB2312" w:eastAsia="仿宋_GB2312" w:cs="仿宋_GB2312"/>
          <w:sz w:val="32"/>
          <w:szCs w:val="32"/>
        </w:rPr>
        <w:t>按年度对以局党组和局机关发出的各类规范性文件进行分类汇编。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文件分发（包括电子文本的分发）、上网公开等工作按照“谁起草、</w:t>
      </w:r>
      <w:r>
        <w:rPr>
          <w:rFonts w:hint="eastAsia" w:ascii="仿宋_GB2312" w:hAnsi="仿宋_GB2312" w:eastAsia="仿宋_GB2312" w:cs="仿宋_GB2312"/>
          <w:sz w:val="32"/>
          <w:szCs w:val="32"/>
          <w:lang w:eastAsia="zh-CN"/>
        </w:rPr>
        <w:t>谁分发、谁公开、</w:t>
      </w:r>
      <w:r>
        <w:rPr>
          <w:rFonts w:hint="eastAsia" w:ascii="仿宋_GB2312" w:hAnsi="仿宋_GB2312" w:eastAsia="仿宋_GB2312" w:cs="仿宋_GB2312"/>
          <w:sz w:val="32"/>
          <w:szCs w:val="32"/>
        </w:rPr>
        <w:t>谁负责”的原则办理</w:t>
      </w:r>
      <w:r>
        <w:rPr>
          <w:rFonts w:hint="eastAsia" w:ascii="仿宋_GB2312" w:hAnsi="仿宋_GB2312" w:eastAsia="仿宋_GB2312" w:cs="仿宋_GB2312"/>
          <w:sz w:val="32"/>
          <w:szCs w:val="32"/>
          <w:lang w:eastAsia="zh-CN"/>
        </w:rPr>
        <w:t>，形成拟稿处室对“拟稿</w:t>
      </w:r>
      <w:r>
        <w:rPr>
          <w:rFonts w:hint="eastAsia" w:ascii="仿宋_GB2312" w:hAnsi="仿宋_GB2312" w:eastAsia="仿宋_GB2312" w:cs="仿宋_GB2312"/>
          <w:sz w:val="32"/>
          <w:szCs w:val="32"/>
          <w:lang w:val="en-US" w:eastAsia="zh-CN"/>
        </w:rPr>
        <w:t>-初核-复核-审核-审签（会签）-签发-分发-公开（解读、宣传）-落实-督办-评估”全流程负责的工作闭环和责任闭环</w:t>
      </w:r>
      <w:r>
        <w:rPr>
          <w:rFonts w:hint="eastAsia" w:ascii="仿宋_GB2312" w:hAnsi="仿宋_GB2312" w:eastAsia="仿宋_GB2312" w:cs="仿宋_GB2312"/>
          <w:sz w:val="32"/>
          <w:szCs w:val="32"/>
        </w:rPr>
        <w:t>。纸质文件一般应做到拟稿人、拟稿处室主要负责人、分管局领导人手一份，</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存档3份。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拟稿</w:t>
      </w:r>
      <w:r>
        <w:rPr>
          <w:rFonts w:hint="eastAsia" w:ascii="仿宋_GB2312" w:hAnsi="仿宋_GB2312" w:eastAsia="仿宋_GB2312" w:cs="仿宋_GB2312"/>
          <w:sz w:val="32"/>
          <w:szCs w:val="32"/>
          <w:lang w:eastAsia="zh-CN"/>
        </w:rPr>
        <w:t>处室</w:t>
      </w:r>
      <w:r>
        <w:rPr>
          <w:rFonts w:hint="eastAsia" w:ascii="仿宋_GB2312" w:hAnsi="仿宋_GB2312" w:eastAsia="仿宋_GB2312" w:cs="仿宋_GB2312"/>
          <w:sz w:val="32"/>
          <w:szCs w:val="32"/>
        </w:rPr>
        <w:t>应在文件发出后</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个工作日内</w:t>
      </w:r>
      <w:r>
        <w:rPr>
          <w:rFonts w:hint="eastAsia" w:ascii="仿宋_GB2312" w:hAnsi="仿宋_GB2312" w:cs="仿宋_GB2312"/>
          <w:sz w:val="32"/>
          <w:szCs w:val="32"/>
          <w:lang w:eastAsia="zh-CN"/>
        </w:rPr>
        <w:t>通过局</w:t>
      </w:r>
      <w:r>
        <w:rPr>
          <w:rFonts w:hint="eastAsia" w:ascii="仿宋_GB2312" w:hAnsi="仿宋_GB2312" w:eastAsia="仿宋_GB2312" w:cs="仿宋_GB2312"/>
          <w:sz w:val="32"/>
          <w:szCs w:val="32"/>
        </w:rPr>
        <w:t>门户网站</w:t>
      </w:r>
      <w:r>
        <w:rPr>
          <w:rFonts w:hint="eastAsia" w:ascii="仿宋_GB2312" w:hAnsi="仿宋_GB2312" w:cs="仿宋_GB2312"/>
          <w:sz w:val="32"/>
          <w:szCs w:val="32"/>
          <w:lang w:eastAsia="zh-CN"/>
        </w:rPr>
        <w:t>将文件进行</w:t>
      </w:r>
      <w:r>
        <w:rPr>
          <w:rFonts w:hint="eastAsia" w:ascii="仿宋_GB2312" w:hAnsi="仿宋_GB2312" w:eastAsia="仿宋_GB2312" w:cs="仿宋_GB2312"/>
          <w:sz w:val="32"/>
          <w:szCs w:val="32"/>
        </w:rPr>
        <w:t>公开发布，并</w:t>
      </w:r>
      <w:r>
        <w:rPr>
          <w:rFonts w:hint="eastAsia" w:ascii="仿宋_GB2312" w:hAnsi="仿宋_GB2312" w:eastAsia="仿宋_GB2312" w:cs="仿宋_GB2312"/>
          <w:sz w:val="32"/>
          <w:szCs w:val="32"/>
          <w:lang w:eastAsia="zh-CN"/>
        </w:rPr>
        <w:t>视需要</w:t>
      </w:r>
      <w:r>
        <w:rPr>
          <w:rFonts w:hint="eastAsia" w:ascii="仿宋_GB2312" w:hAnsi="仿宋_GB2312" w:eastAsia="仿宋_GB2312" w:cs="仿宋_GB2312"/>
          <w:sz w:val="32"/>
          <w:szCs w:val="32"/>
        </w:rPr>
        <w:t>做好政策解读和舆论引导。对涉及敏感信息的</w:t>
      </w:r>
      <w:r>
        <w:rPr>
          <w:rFonts w:hint="eastAsia" w:ascii="仿宋_GB2312" w:hAnsi="仿宋_GB2312" w:cs="仿宋_GB2312"/>
          <w:sz w:val="32"/>
          <w:szCs w:val="32"/>
          <w:lang w:eastAsia="zh-CN"/>
        </w:rPr>
        <w:t>文件</w:t>
      </w:r>
      <w:r>
        <w:rPr>
          <w:rFonts w:hint="eastAsia" w:ascii="仿宋_GB2312" w:hAnsi="仿宋_GB2312" w:eastAsia="仿宋_GB2312" w:cs="仿宋_GB2312"/>
          <w:sz w:val="32"/>
          <w:szCs w:val="32"/>
        </w:rPr>
        <w:t>一般应按“依申请公开”</w:t>
      </w:r>
      <w:r>
        <w:rPr>
          <w:rFonts w:hint="eastAsia" w:ascii="仿宋_GB2312" w:hAnsi="仿宋_GB2312" w:cs="仿宋_GB2312"/>
          <w:sz w:val="32"/>
          <w:szCs w:val="32"/>
          <w:lang w:eastAsia="zh-CN"/>
        </w:rPr>
        <w:t>或“不予公开”</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；涉密文件严格按照保密管理有关规定办理</w:t>
      </w:r>
      <w:r>
        <w:rPr>
          <w:rFonts w:hint="eastAsia" w:ascii="仿宋_GB2312" w:hAnsi="仿宋_GB2312" w:eastAsia="仿宋_GB2312" w:cs="仿宋_GB2312"/>
          <w:sz w:val="32"/>
          <w:szCs w:val="32"/>
        </w:rPr>
        <w:t>。上行文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会议纪要</w:t>
      </w:r>
      <w:r>
        <w:rPr>
          <w:rFonts w:hint="eastAsia" w:ascii="仿宋_GB2312" w:hAnsi="仿宋_GB2312" w:eastAsia="仿宋_GB2312" w:cs="仿宋_GB2312"/>
          <w:sz w:val="32"/>
          <w:szCs w:val="32"/>
          <w:lang w:eastAsia="zh-CN"/>
        </w:rPr>
        <w:t>、便函等一般</w:t>
      </w:r>
      <w:r>
        <w:rPr>
          <w:rFonts w:hint="eastAsia" w:ascii="仿宋_GB2312" w:hAnsi="仿宋_GB2312" w:eastAsia="仿宋_GB2312" w:cs="仿宋_GB2312"/>
          <w:sz w:val="32"/>
          <w:szCs w:val="32"/>
        </w:rPr>
        <w:t>不公开，不计入公开比例。</w:t>
      </w:r>
      <w:r>
        <w:rPr>
          <w:rFonts w:hint="eastAsia" w:ascii="仿宋_GB2312" w:hAnsi="仿宋_GB2312" w:cs="仿宋_GB2312"/>
          <w:sz w:val="32"/>
          <w:szCs w:val="32"/>
          <w:lang w:eastAsia="zh-CN"/>
        </w:rPr>
        <w:t>综合处负责对</w:t>
      </w:r>
      <w:r>
        <w:rPr>
          <w:rFonts w:hint="eastAsia" w:ascii="仿宋_GB2312" w:hAnsi="仿宋_GB2312" w:eastAsia="仿宋_GB2312" w:cs="仿宋_GB2312"/>
          <w:sz w:val="32"/>
          <w:szCs w:val="32"/>
          <w:lang w:eastAsia="zh-CN"/>
        </w:rPr>
        <w:t>文件公开情况进行考核，禁止年底突击挂网公开。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w:t>
      </w:r>
      <w:r>
        <w:rPr>
          <w:rFonts w:hint="eastAsia" w:ascii="仿宋_GB2312" w:hAnsi="仿宋_GB2312" w:cs="仿宋_GB2312"/>
          <w:b/>
          <w:bCs/>
          <w:sz w:val="32"/>
          <w:szCs w:val="32"/>
          <w:lang w:eastAsia="zh-CN"/>
        </w:rPr>
        <w:t>十六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局领导</w:t>
      </w:r>
      <w:r>
        <w:rPr>
          <w:rFonts w:hint="eastAsia" w:ascii="仿宋_GB2312" w:hAnsi="仿宋_GB2312" w:cs="仿宋_GB2312"/>
          <w:sz w:val="32"/>
          <w:szCs w:val="32"/>
          <w:lang w:val="en-US" w:eastAsia="zh-CN"/>
        </w:rPr>
        <w:t>对综合处呈送的来文</w:t>
      </w:r>
      <w:r>
        <w:rPr>
          <w:rFonts w:hint="eastAsia" w:ascii="仿宋_GB2312" w:hAnsi="仿宋_GB2312" w:eastAsia="仿宋_GB2312" w:cs="仿宋_GB2312"/>
          <w:sz w:val="32"/>
          <w:szCs w:val="32"/>
          <w:lang w:val="en-US" w:eastAsia="zh-CN"/>
        </w:rPr>
        <w:t>实行首阅责任制。受文局领导认为</w:t>
      </w:r>
      <w:r>
        <w:rPr>
          <w:rFonts w:hint="eastAsia" w:ascii="仿宋_GB2312" w:hAnsi="仿宋_GB2312" w:cs="仿宋_GB2312"/>
          <w:sz w:val="32"/>
          <w:szCs w:val="32"/>
          <w:lang w:val="en-US" w:eastAsia="zh-CN"/>
        </w:rPr>
        <w:t>初步</w:t>
      </w:r>
      <w:r>
        <w:rPr>
          <w:rFonts w:hint="eastAsia" w:ascii="仿宋_GB2312" w:hAnsi="仿宋_GB2312" w:eastAsia="仿宋_GB2312" w:cs="仿宋_GB2312"/>
          <w:sz w:val="32"/>
          <w:szCs w:val="32"/>
          <w:lang w:val="en-US" w:eastAsia="zh-CN"/>
        </w:rPr>
        <w:t>分办意见有误或涉及其他领导分管工作的，应当明确签署转办意见（提出转办理由，建议由哪位分管局领导签署办理意见）后退回综合处转呈另一位局领导阅示，不能未签意见而口头提出转办意见或直接退回综合处重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w:t>
      </w:r>
      <w:r>
        <w:rPr>
          <w:rFonts w:hint="eastAsia" w:ascii="仿宋_GB2312" w:hAnsi="仿宋_GB2312" w:cs="仿宋_GB2312"/>
          <w:b/>
          <w:bCs/>
          <w:sz w:val="32"/>
          <w:szCs w:val="32"/>
          <w:lang w:val="en-US" w:eastAsia="zh-CN"/>
        </w:rPr>
        <w:t>十</w:t>
      </w:r>
      <w:r>
        <w:rPr>
          <w:rFonts w:hint="eastAsia" w:ascii="仿宋_GB2312" w:hAnsi="仿宋_GB2312" w:eastAsia="仿宋_GB2312" w:cs="仿宋_GB2312"/>
          <w:b/>
          <w:bCs/>
          <w:sz w:val="32"/>
          <w:szCs w:val="32"/>
          <w:lang w:val="en-US" w:eastAsia="zh-CN"/>
        </w:rPr>
        <w:t>七条</w:t>
      </w:r>
      <w:r>
        <w:rPr>
          <w:rFonts w:hint="eastAsia" w:ascii="仿宋_GB2312" w:hAnsi="仿宋_GB2312" w:eastAsia="仿宋_GB2312" w:cs="仿宋_GB2312"/>
          <w:sz w:val="32"/>
          <w:szCs w:val="32"/>
          <w:lang w:val="en-US" w:eastAsia="zh-CN"/>
        </w:rPr>
        <w:t xml:space="preserve">  局领导对综合处签署“传阅”意见的文件应当认真阅读，阅文过程中认为需要我局做好相应工作的，应当及时签署办理意见，退回综合处按照“办文”程序处理；认为应当由相关处室、相关人员阅知的，应当签署明确的阅知范围后退回综合处分送相关处室、相关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w:t>
      </w:r>
      <w:r>
        <w:rPr>
          <w:rFonts w:hint="eastAsia" w:ascii="仿宋_GB2312" w:hAnsi="仿宋_GB2312" w:cs="仿宋_GB2312"/>
          <w:b/>
          <w:bCs/>
          <w:sz w:val="32"/>
          <w:szCs w:val="32"/>
          <w:lang w:val="en-US" w:eastAsia="zh-CN"/>
        </w:rPr>
        <w:t>十</w:t>
      </w:r>
      <w:r>
        <w:rPr>
          <w:rFonts w:hint="eastAsia" w:ascii="仿宋_GB2312" w:hAnsi="仿宋_GB2312" w:eastAsia="仿宋_GB2312" w:cs="仿宋_GB2312"/>
          <w:b/>
          <w:bCs/>
          <w:sz w:val="32"/>
          <w:szCs w:val="32"/>
          <w:lang w:val="en-US" w:eastAsia="zh-CN"/>
        </w:rPr>
        <w:t>八条</w:t>
      </w:r>
      <w:r>
        <w:rPr>
          <w:rFonts w:hint="eastAsia" w:ascii="仿宋_GB2312" w:hAnsi="仿宋_GB2312" w:eastAsia="仿宋_GB2312" w:cs="仿宋_GB2312"/>
          <w:sz w:val="32"/>
          <w:szCs w:val="32"/>
          <w:lang w:val="en-US" w:eastAsia="zh-CN"/>
        </w:rPr>
        <w:t xml:space="preserve">  局领导对需要办理的文件应当明确签署承办的处室，涉及2个</w:t>
      </w:r>
      <w:r>
        <w:rPr>
          <w:rFonts w:hint="eastAsia" w:ascii="仿宋_GB2312" w:hAnsi="仿宋_GB2312" w:cs="仿宋_GB2312"/>
          <w:sz w:val="32"/>
          <w:szCs w:val="32"/>
          <w:lang w:val="en-US" w:eastAsia="zh-CN"/>
        </w:rPr>
        <w:t>及2个</w:t>
      </w:r>
      <w:r>
        <w:rPr>
          <w:rFonts w:hint="eastAsia" w:ascii="仿宋_GB2312" w:hAnsi="仿宋_GB2312" w:eastAsia="仿宋_GB2312" w:cs="仿宋_GB2312"/>
          <w:sz w:val="32"/>
          <w:szCs w:val="32"/>
          <w:lang w:val="en-US" w:eastAsia="zh-CN"/>
        </w:rPr>
        <w:t>以上处室的，应当明确签署1个处室牵头，从源头上防止推诿扯皮。承办处室受文后认为分管局领导提出的分办意见有误或所涉及的工作与本处室无关的，应当直接向签署意见的局领导汇报沟通，不得将文件退回综合处转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第十九条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以局党组、局机关党委、局机关和局综合处名义制发，需各处室、各单位阅知、阅办的文件，拟文处室应通过公文传输系统及时送达各处室、单位，各处室、单位须及时收文、阅文、办理，造成工作延误的，应倒查责任、严肃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第二十条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lang w:eastAsia="zh-CN"/>
        </w:rPr>
        <w:t>建设和完善</w:t>
      </w:r>
      <w:r>
        <w:rPr>
          <w:rFonts w:hint="eastAsia" w:ascii="仿宋_GB2312" w:hAnsi="仿宋_GB2312" w:cs="仿宋_GB2312"/>
          <w:sz w:val="32"/>
          <w:szCs w:val="32"/>
          <w:lang w:eastAsia="zh-CN"/>
        </w:rPr>
        <w:t>公文处理</w:t>
      </w:r>
      <w:r>
        <w:rPr>
          <w:rFonts w:hint="eastAsia" w:ascii="仿宋_GB2312" w:hAnsi="仿宋_GB2312" w:eastAsia="仿宋_GB2312" w:cs="仿宋_GB2312"/>
          <w:sz w:val="32"/>
          <w:szCs w:val="32"/>
          <w:lang w:eastAsia="zh-CN"/>
        </w:rPr>
        <w:t>信息化系统并加强应用培训，</w:t>
      </w:r>
      <w:r>
        <w:rPr>
          <w:rFonts w:hint="eastAsia" w:ascii="仿宋_GB2312" w:hAnsi="仿宋_GB2312" w:eastAsia="仿宋_GB2312" w:cs="仿宋_GB2312"/>
          <w:sz w:val="32"/>
          <w:szCs w:val="32"/>
          <w:lang w:val="en-US" w:eastAsia="zh-CN"/>
        </w:rPr>
        <w:t>推行公文</w:t>
      </w:r>
      <w:r>
        <w:rPr>
          <w:rFonts w:hint="eastAsia" w:ascii="仿宋_GB2312" w:hAnsi="仿宋_GB2312" w:eastAsia="仿宋_GB2312" w:cs="仿宋_GB2312"/>
          <w:sz w:val="32"/>
          <w:szCs w:val="32"/>
          <w:lang w:eastAsia="zh-CN"/>
        </w:rPr>
        <w:t>上网</w:t>
      </w:r>
      <w:r>
        <w:rPr>
          <w:rFonts w:hint="eastAsia" w:ascii="仿宋_GB2312" w:hAnsi="仿宋_GB2312" w:cs="仿宋_GB2312"/>
          <w:sz w:val="32"/>
          <w:szCs w:val="32"/>
          <w:lang w:eastAsia="zh-CN"/>
        </w:rPr>
        <w:t>处理</w:t>
      </w:r>
      <w:r>
        <w:rPr>
          <w:rFonts w:hint="eastAsia" w:ascii="仿宋_GB2312" w:hAnsi="仿宋_GB2312" w:eastAsia="仿宋_GB2312" w:cs="仿宋_GB2312"/>
          <w:sz w:val="32"/>
          <w:szCs w:val="32"/>
          <w:lang w:eastAsia="zh-CN"/>
        </w:rPr>
        <w:t>、移动办公，</w:t>
      </w:r>
      <w:r>
        <w:rPr>
          <w:rFonts w:hint="eastAsia" w:ascii="仿宋_GB2312" w:hAnsi="仿宋_GB2312" w:cs="仿宋_GB2312"/>
          <w:sz w:val="32"/>
          <w:szCs w:val="32"/>
          <w:lang w:eastAsia="zh-CN"/>
        </w:rPr>
        <w:t>逐步</w:t>
      </w:r>
      <w:r>
        <w:rPr>
          <w:rFonts w:hint="eastAsia" w:ascii="仿宋_GB2312" w:hAnsi="仿宋_GB2312" w:eastAsia="仿宋_GB2312" w:cs="仿宋_GB2312"/>
          <w:sz w:val="32"/>
          <w:szCs w:val="32"/>
          <w:lang w:eastAsia="zh-CN"/>
        </w:rPr>
        <w:t>取消纸质件流转，提高</w:t>
      </w:r>
      <w:r>
        <w:rPr>
          <w:rFonts w:hint="eastAsia" w:ascii="仿宋_GB2312" w:hAnsi="仿宋_GB2312" w:cs="仿宋_GB2312"/>
          <w:sz w:val="32"/>
          <w:szCs w:val="32"/>
          <w:lang w:eastAsia="zh-CN"/>
        </w:rPr>
        <w:t>公文处理</w:t>
      </w:r>
      <w:r>
        <w:rPr>
          <w:rFonts w:hint="eastAsia" w:ascii="仿宋_GB2312" w:hAnsi="仿宋_GB2312" w:eastAsia="仿宋_GB2312" w:cs="仿宋_GB2312"/>
          <w:sz w:val="32"/>
          <w:szCs w:val="32"/>
          <w:lang w:eastAsia="zh-CN"/>
        </w:rPr>
        <w:t>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本制度由局</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rPr>
        <w:t>负责解释，自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lang w:eastAsia="zh-CN"/>
        </w:rPr>
      </w:pPr>
      <w:r>
        <w:rPr>
          <w:rFonts w:hint="eastAsia"/>
          <w:lang w:eastAsia="zh-CN"/>
        </w:rPr>
        <w:t>附件：自治区药品监督管理局各处规范简称及发文代字表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lang w:eastAsia="zh-CN"/>
        </w:rPr>
      </w:pPr>
      <w:r>
        <w:rPr>
          <w:rFonts w:hint="eastAsia"/>
          <w:lang w:eastAsia="zh-CN"/>
        </w:rPr>
        <w:t>附件：</w:t>
      </w:r>
    </w:p>
    <w:p>
      <w:pPr>
        <w:spacing w:line="58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自治区药品监督管理局各处规范简称</w:t>
      </w:r>
    </w:p>
    <w:p>
      <w:pPr>
        <w:spacing w:line="58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及发文代字表</w:t>
      </w:r>
    </w:p>
    <w:p>
      <w:pPr>
        <w:spacing w:line="580" w:lineRule="exact"/>
        <w:jc w:val="center"/>
        <w:rPr>
          <w:rFonts w:hint="eastAsia" w:ascii="方正小标宋简体" w:hAnsi="方正小标宋简体" w:eastAsia="方正小标宋简体" w:cs="方正小标宋简体"/>
          <w:sz w:val="44"/>
          <w:szCs w:val="44"/>
          <w:lang w:eastAsia="zh-CN"/>
        </w:rPr>
      </w:pPr>
    </w:p>
    <w:tbl>
      <w:tblPr>
        <w:tblStyle w:val="6"/>
        <w:tblW w:w="89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8"/>
        <w:gridCol w:w="1740"/>
        <w:gridCol w:w="198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3238" w:type="dxa"/>
            <w:vAlign w:val="center"/>
          </w:tcPr>
          <w:p>
            <w:pPr>
              <w:spacing w:line="580" w:lineRule="exact"/>
              <w:jc w:val="center"/>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处室全称</w:t>
            </w:r>
          </w:p>
        </w:tc>
        <w:tc>
          <w:tcPr>
            <w:tcW w:w="1740" w:type="dxa"/>
            <w:vAlign w:val="center"/>
          </w:tcPr>
          <w:p>
            <w:pPr>
              <w:spacing w:line="580" w:lineRule="exact"/>
              <w:jc w:val="center"/>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规范简称</w:t>
            </w:r>
          </w:p>
        </w:tc>
        <w:tc>
          <w:tcPr>
            <w:tcW w:w="1980" w:type="dxa"/>
            <w:vAlign w:val="center"/>
          </w:tcPr>
          <w:p>
            <w:pPr>
              <w:spacing w:line="580" w:lineRule="exact"/>
              <w:jc w:val="center"/>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发文代字</w:t>
            </w:r>
          </w:p>
        </w:tc>
        <w:tc>
          <w:tcPr>
            <w:tcW w:w="1942" w:type="dxa"/>
            <w:vAlign w:val="center"/>
          </w:tcPr>
          <w:p>
            <w:pPr>
              <w:spacing w:line="580" w:lineRule="exact"/>
              <w:jc w:val="center"/>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局函代字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cs="Times New Roman"/>
                <w:color w:val="auto"/>
                <w:sz w:val="24"/>
                <w:szCs w:val="24"/>
                <w:vertAlign w:val="baseline"/>
                <w:lang w:eastAsia="zh-CN"/>
              </w:rPr>
              <w:t>综合处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综合处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&lt;综&gt;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&lt;综&gt;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cs="Times New Roman"/>
                <w:color w:val="auto"/>
                <w:sz w:val="24"/>
                <w:szCs w:val="24"/>
                <w:vertAlign w:val="baseline"/>
                <w:lang w:eastAsia="zh-CN"/>
              </w:rPr>
              <w:t>政策法规处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cs="Times New Roman"/>
                <w:color w:val="auto"/>
                <w:sz w:val="24"/>
                <w:szCs w:val="24"/>
                <w:vertAlign w:val="baseline"/>
                <w:lang w:eastAsia="zh-CN"/>
              </w:rPr>
              <w:t>政策法规处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&lt;法&gt;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&lt;法&gt;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药品注册与生产监督管理处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生产处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&lt;生产&gt;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&lt;生产&gt;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药品流通监督管理处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流通处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&lt;流通&gt;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&lt;流通&gt;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医疗器械监督管理处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器械处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&lt;械&gt;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&lt;械&gt;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化妆品监督管理处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化妆品处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pacing w:val="-20"/>
                <w:sz w:val="24"/>
                <w:szCs w:val="24"/>
                <w:vertAlign w:val="baseline"/>
                <w:lang w:eastAsia="zh-CN"/>
              </w:rPr>
              <w:t>宁药监</w:t>
            </w:r>
            <w:r>
              <w:rPr>
                <w:rFonts w:hint="eastAsia" w:cs="Times New Roman"/>
                <w:color w:val="auto"/>
                <w:sz w:val="24"/>
                <w:szCs w:val="24"/>
                <w:vertAlign w:val="baseline"/>
                <w:lang w:val="en-US" w:eastAsia="zh-CN"/>
              </w:rPr>
              <w:t>&lt;化&gt;</w:t>
            </w:r>
            <w:r>
              <w:rPr>
                <w:rFonts w:hint="eastAsia" w:cs="Times New Roman"/>
                <w:color w:val="auto"/>
                <w:spacing w:val="-20"/>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&lt;化&gt;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稽查局</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稽查局</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pacing w:val="-20"/>
                <w:sz w:val="24"/>
                <w:szCs w:val="24"/>
                <w:vertAlign w:val="baseline"/>
                <w:lang w:eastAsia="zh-CN"/>
              </w:rPr>
              <w:t>宁药监</w:t>
            </w:r>
            <w:r>
              <w:rPr>
                <w:rFonts w:hint="eastAsia" w:cs="Times New Roman"/>
                <w:color w:val="auto"/>
                <w:sz w:val="24"/>
                <w:szCs w:val="24"/>
                <w:vertAlign w:val="baseline"/>
                <w:lang w:val="en-US" w:eastAsia="zh-CN"/>
              </w:rPr>
              <w:t>&lt;稽&gt;</w:t>
            </w:r>
            <w:r>
              <w:rPr>
                <w:rFonts w:hint="eastAsia" w:cs="Times New Roman"/>
                <w:color w:val="auto"/>
                <w:spacing w:val="-20"/>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&lt;稽&gt;</w:t>
            </w:r>
            <w:r>
              <w:rPr>
                <w:rFonts w:hint="eastAsia" w:cs="Times New Roman"/>
                <w:color w:val="auto"/>
                <w:sz w:val="24"/>
                <w:szCs w:val="24"/>
                <w:vertAlign w:val="baseli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32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cs="Times New Roman"/>
                <w:color w:val="auto"/>
                <w:sz w:val="24"/>
                <w:szCs w:val="24"/>
                <w:vertAlign w:val="baseline"/>
                <w:lang w:eastAsia="zh-CN"/>
              </w:rPr>
              <w:t>人事与老干部处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人事处</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&lt;人&gt;</w:t>
            </w:r>
            <w:r>
              <w:rPr>
                <w:rFonts w:hint="eastAsia" w:cs="Times New Roman"/>
                <w:color w:val="auto"/>
                <w:sz w:val="24"/>
                <w:szCs w:val="24"/>
                <w:vertAlign w:val="baseline"/>
                <w:lang w:eastAsia="zh-CN"/>
              </w:rPr>
              <w:t>发</w:t>
            </w:r>
          </w:p>
        </w:tc>
        <w:tc>
          <w:tcPr>
            <w:tcW w:w="19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vertAlign w:val="baseline"/>
                <w:lang w:eastAsia="zh-CN"/>
              </w:rPr>
            </w:pPr>
            <w:r>
              <w:rPr>
                <w:rFonts w:hint="eastAsia" w:cs="Times New Roman"/>
                <w:color w:val="auto"/>
                <w:sz w:val="24"/>
                <w:szCs w:val="24"/>
                <w:vertAlign w:val="baseline"/>
                <w:lang w:eastAsia="zh-CN"/>
              </w:rPr>
              <w:t>宁药监</w:t>
            </w:r>
            <w:r>
              <w:rPr>
                <w:rFonts w:hint="eastAsia" w:cs="Times New Roman"/>
                <w:color w:val="auto"/>
                <w:sz w:val="24"/>
                <w:szCs w:val="24"/>
                <w:vertAlign w:val="baseline"/>
                <w:lang w:val="en-US" w:eastAsia="zh-CN"/>
              </w:rPr>
              <w:t>&lt;人&gt;</w:t>
            </w:r>
            <w:r>
              <w:rPr>
                <w:rFonts w:hint="eastAsia" w:cs="Times New Roman"/>
                <w:color w:val="auto"/>
                <w:sz w:val="24"/>
                <w:szCs w:val="24"/>
                <w:vertAlign w:val="baseline"/>
                <w:lang w:eastAsia="zh-CN"/>
              </w:rPr>
              <w:t>函</w:t>
            </w:r>
          </w:p>
        </w:tc>
      </w:tr>
    </w:tbl>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D7C7F1D"/>
    <w:rsid w:val="56462676"/>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样式6"/>
    <w:basedOn w:val="2"/>
    <w:uiPriority w:val="0"/>
    <w:rPr>
      <w:rFonts w:ascii="Times New Roman" w:hAnsi="Times New Roman" w:eastAsia="方正小标宋_GBK" w:cs="Times New Roman"/>
      <w:b w:val="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