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宁夏回族</w:t>
      </w:r>
      <w:r>
        <w:rPr>
          <w:rFonts w:hint="eastAsia" w:ascii="方正小标宋简体" w:hAnsi="华文中宋" w:eastAsia="方正小标宋简体"/>
          <w:sz w:val="36"/>
          <w:szCs w:val="36"/>
        </w:rPr>
        <w:t>自治区药品监督管理局</w:t>
      </w:r>
    </w:p>
    <w:p>
      <w:pPr>
        <w:spacing w:line="720" w:lineRule="exact"/>
        <w:jc w:val="center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行政执法考核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监督</w:t>
      </w:r>
      <w:r>
        <w:rPr>
          <w:rFonts w:hint="eastAsia" w:ascii="方正小标宋简体" w:hAnsi="华文中宋" w:eastAsia="方正小标宋简体"/>
          <w:sz w:val="36"/>
          <w:szCs w:val="36"/>
        </w:rPr>
        <w:t>办法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（试行）</w:t>
      </w:r>
    </w:p>
    <w:p>
      <w:pPr>
        <w:keepNext w:val="0"/>
        <w:keepLines w:val="0"/>
        <w:widowControl/>
        <w:suppressLineNumbers w:val="0"/>
        <w:ind w:left="0" w:leftChars="0" w:firstLine="589" w:firstLineChars="19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08" w:firstLineChars="190"/>
        <w:jc w:val="both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为了加强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药品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行政执法监督，落实执法责任，提高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药品监督管理部门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依法监管本部门行政执法人员的能力和水平，结合全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区药品监督管理行政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执法实际，制定本办法。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行政执法考核监督应当遵守公开、公平、公正原则。公正对待、客观评价行政执法人员的行政执法行为。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的过程和结果应当以适当方式在一定范围内公开。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08" w:firstLineChars="19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鼓励执法人员对其实施的执法行为进行自查自纠。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行政执法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应当以药品监督管理局岗位职责与工作规程为标准。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结果作为年度考核的一项内容。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行政执法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应当运用信息化手段，提高考核的科学性和准确性。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自治区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药品</w:t>
      </w:r>
      <w:r>
        <w:rPr>
          <w:rFonts w:hint="eastAsia" w:ascii="仿宋_GB2312" w:eastAsia="仿宋_GB2312"/>
          <w:color w:val="000000"/>
          <w:sz w:val="32"/>
          <w:szCs w:val="32"/>
        </w:rPr>
        <w:t>监督管理局成立行政执法责任制领导小组（简称领导小组），负责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、执法责任追究工作的组织领导。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领导小组办公室（下称办公室）设在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政策法规处</w:t>
      </w:r>
      <w:r>
        <w:rPr>
          <w:rFonts w:hint="eastAsia" w:ascii="仿宋_GB2312" w:eastAsia="仿宋_GB2312"/>
          <w:color w:val="000000"/>
          <w:sz w:val="32"/>
          <w:szCs w:val="32"/>
        </w:rPr>
        <w:t>，由相关部门人员组成。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ind w:leftChars="304"/>
        <w:jc w:val="left"/>
        <w:rPr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政策法规处</w:t>
      </w:r>
      <w:r>
        <w:rPr>
          <w:rFonts w:hint="eastAsia" w:ascii="仿宋_GB2312" w:eastAsia="仿宋_GB2312"/>
          <w:color w:val="000000"/>
          <w:sz w:val="32"/>
          <w:szCs w:val="32"/>
        </w:rPr>
        <w:t>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、执法责任追究的组织协调、监督检查工作。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（一）组织制定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工作方案；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（二）组织实施日常评议、重点考核；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（三）向领导小组报告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情况；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ind w:leftChars="304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（四）行政执法责任追究的有关工作。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行政执法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对象</w:t>
      </w:r>
      <w:r>
        <w:rPr>
          <w:rFonts w:hint="eastAsia" w:ascii="仿宋_GB2312" w:eastAsia="仿宋_GB2312"/>
          <w:color w:val="000000"/>
          <w:sz w:val="32"/>
          <w:szCs w:val="32"/>
        </w:rPr>
        <w:t>是行使行政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检查、</w:t>
      </w:r>
      <w:r>
        <w:rPr>
          <w:rFonts w:hint="eastAsia" w:ascii="仿宋_GB2312" w:eastAsia="仿宋_GB2312"/>
          <w:color w:val="000000"/>
          <w:sz w:val="32"/>
          <w:szCs w:val="32"/>
        </w:rPr>
        <w:t>行政许可、行政处罚、行政复议等执法行为及其他行政管理工作的执法人员。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行政执法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的主要内容是：</w:t>
      </w:r>
    </w:p>
    <w:p>
      <w:pPr>
        <w:spacing w:line="560" w:lineRule="exact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（一）行政执法人员履行岗位职责情况，包括行政执法的主体资格是否符合规定，行政执法行为是否符合执法权限，适用执法依据是否规范，行政执法程序是否合法，行政执法决定的内容是否合法、适当等；</w:t>
      </w:r>
    </w:p>
    <w:p>
      <w:pPr>
        <w:spacing w:line="560" w:lineRule="exact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（二）行政执法行为引起的行政复议与行政诉讼结果；</w:t>
      </w:r>
    </w:p>
    <w:p>
      <w:pPr>
        <w:spacing w:line="560" w:lineRule="exact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（三）行政执法案卷质量；</w:t>
      </w:r>
    </w:p>
    <w:p>
      <w:pPr>
        <w:spacing w:line="560" w:lineRule="exact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（四）履行行政管理职责情况；</w:t>
      </w:r>
    </w:p>
    <w:p>
      <w:pPr>
        <w:spacing w:line="560" w:lineRule="exact"/>
        <w:ind w:left="0" w:leftChars="0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（五）其他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行政执法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采取内部评议和外部评议相结合的方法。内部评议包括日常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与重点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实行个人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与组织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相结合。</w:t>
      </w:r>
    </w:p>
    <w:p>
      <w:pPr>
        <w:pStyle w:val="2"/>
        <w:spacing w:line="56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</w:t>
      </w:r>
      <w:r>
        <w:rPr>
          <w:rFonts w:hint="eastAsia"/>
          <w:sz w:val="32"/>
          <w:szCs w:val="32"/>
          <w:lang w:eastAsia="zh-CN"/>
        </w:rPr>
        <w:t>考核监督</w:t>
      </w:r>
      <w:r>
        <w:rPr>
          <w:rFonts w:hint="eastAsia"/>
          <w:sz w:val="32"/>
          <w:szCs w:val="32"/>
        </w:rPr>
        <w:t>由行政执法人员对照岗位职责与工作规程进行自我评价，提交年度</w:t>
      </w:r>
      <w:r>
        <w:rPr>
          <w:rFonts w:hint="eastAsia"/>
          <w:sz w:val="32"/>
          <w:szCs w:val="32"/>
          <w:lang w:eastAsia="zh-CN"/>
        </w:rPr>
        <w:t>考核监督</w:t>
      </w:r>
      <w:r>
        <w:rPr>
          <w:rFonts w:hint="eastAsia"/>
          <w:sz w:val="32"/>
          <w:szCs w:val="32"/>
        </w:rPr>
        <w:t>总结报告。</w:t>
      </w:r>
    </w:p>
    <w:p>
      <w:pPr>
        <w:pStyle w:val="2"/>
        <w:spacing w:line="56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组织</w:t>
      </w:r>
      <w:r>
        <w:rPr>
          <w:rFonts w:hint="eastAsia"/>
          <w:sz w:val="32"/>
          <w:szCs w:val="32"/>
          <w:lang w:eastAsia="zh-CN"/>
        </w:rPr>
        <w:t>考核监督</w:t>
      </w:r>
      <w:r>
        <w:rPr>
          <w:rFonts w:hint="eastAsia"/>
          <w:sz w:val="32"/>
          <w:szCs w:val="32"/>
        </w:rPr>
        <w:t>由执法人员所在处室对执法人员的执法工作进行</w:t>
      </w:r>
      <w:r>
        <w:rPr>
          <w:rFonts w:hint="eastAsia"/>
          <w:sz w:val="32"/>
          <w:szCs w:val="32"/>
          <w:lang w:eastAsia="zh-CN"/>
        </w:rPr>
        <w:t>考核监督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重点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eastAsia="仿宋_GB2312"/>
          <w:color w:val="000000"/>
          <w:sz w:val="32"/>
          <w:szCs w:val="32"/>
        </w:rPr>
        <w:t>是指</w:t>
      </w:r>
      <w:r>
        <w:rPr>
          <w:rFonts w:hint="eastAsia" w:ascii="仿宋_GB2312" w:eastAsia="仿宋_GB2312"/>
          <w:color w:val="000000"/>
          <w:sz w:val="32"/>
          <w:szCs w:val="32"/>
        </w:rPr>
        <w:t>对确定的执法岗位或执法人员进行的不定期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。重点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的内容：</w:t>
      </w:r>
    </w:p>
    <w:p>
      <w:pPr>
        <w:spacing w:line="560" w:lineRule="exact"/>
        <w:ind w:firstLine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（一）根据局工作安排确定的部分执法岗位或人员；</w:t>
      </w:r>
    </w:p>
    <w:p>
      <w:pPr>
        <w:spacing w:line="560" w:lineRule="exact"/>
        <w:ind w:firstLine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（二）日常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发现问题的执法岗位或人员；</w:t>
      </w:r>
    </w:p>
    <w:p>
      <w:pPr>
        <w:spacing w:line="560" w:lineRule="exact"/>
        <w:ind w:firstLine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（三）外部评议发现问题的执法岗位或人员；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ind w:leftChars="304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（四）领导小组认为其他需要重点考核的情形。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重点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按以下程序进行：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（一）确定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的执法岗位或人员；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（二）制定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方案；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（三）办公室及相关部门人员具体实施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，提交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意见报领导小组审核；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（四）公布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结果。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重点</w:t>
      </w:r>
      <w:r>
        <w:rPr>
          <w:rFonts w:hint="eastAsia" w:eastAsia="仿宋_GB2312"/>
          <w:sz w:val="32"/>
          <w:szCs w:val="32"/>
          <w:lang w:eastAsia="zh-CN"/>
        </w:rPr>
        <w:t>考核监督</w:t>
      </w:r>
      <w:r>
        <w:rPr>
          <w:rFonts w:hint="eastAsia" w:eastAsia="仿宋_GB2312"/>
          <w:sz w:val="32"/>
          <w:szCs w:val="32"/>
        </w:rPr>
        <w:t>可以采取听取汇报、开座谈会或者个别谈话、评查行政执法案卷等方式。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评议可以采用召开行政相对人座谈会、发放评议卡、设置意见箱、开通评议电话、聘请评议监督员、举行民意测验等方式。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外部评议情况应当及时报告领导小组，并作为最终考核意见的重要根据。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left"/>
        <w:rPr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发现的行政执法问题，由部门负责人督促责任人员及时纠正。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考核中发现应当追究行政执法责任的，依照《</w:t>
      </w:r>
      <w:r>
        <w:rPr>
          <w:rFonts w:hint="eastAsia" w:ascii="仿宋_GB2312" w:eastAsia="仿宋_GB2312"/>
          <w:sz w:val="32"/>
          <w:szCs w:val="32"/>
          <w:lang w:eastAsia="zh-CN"/>
        </w:rPr>
        <w:t>宁夏回族</w:t>
      </w:r>
      <w:r>
        <w:rPr>
          <w:rFonts w:hint="eastAsia" w:ascii="仿宋_GB2312" w:eastAsia="仿宋_GB2312"/>
          <w:sz w:val="32"/>
          <w:szCs w:val="32"/>
        </w:rPr>
        <w:t>自治区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行政执法监督条例</w:t>
      </w:r>
      <w:r>
        <w:rPr>
          <w:rFonts w:hint="eastAsia" w:ascii="仿宋_GB2312" w:eastAsia="仿宋_GB2312"/>
          <w:color w:val="000000"/>
          <w:sz w:val="32"/>
          <w:szCs w:val="32"/>
        </w:rPr>
        <w:t>》处理。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行政执法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考核监督</w:t>
      </w:r>
      <w:r>
        <w:rPr>
          <w:rFonts w:hint="eastAsia" w:ascii="仿宋_GB2312" w:eastAsia="仿宋_GB2312"/>
          <w:color w:val="000000"/>
          <w:sz w:val="32"/>
          <w:szCs w:val="32"/>
        </w:rPr>
        <w:t>与机关公务员年度考核、党风廉政建设考核有机结合，对表现突出、成绩优秀的行政执法部门或执法人员予以表彰与奖励。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本规定自发布之日起施行。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608" w:firstLineChars="19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608" w:firstLineChars="19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ind w:left="0" w:leftChars="0" w:firstLine="608" w:firstLineChars="190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EB5B9"/>
    <w:multiLevelType w:val="singleLevel"/>
    <w:tmpl w:val="5C6EB5B9"/>
    <w:lvl w:ilvl="0" w:tentative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694" w:leftChars="0"/>
      </w:pPr>
      <w:rPr>
        <w:rFonts w:hint="eastAsia" w:eastAsia="黑体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0DC3"/>
    <w:rsid w:val="06C00314"/>
    <w:rsid w:val="0D791A8E"/>
    <w:rsid w:val="103E06E9"/>
    <w:rsid w:val="10441F07"/>
    <w:rsid w:val="137013DC"/>
    <w:rsid w:val="15354E06"/>
    <w:rsid w:val="28B01FBB"/>
    <w:rsid w:val="29C44DFF"/>
    <w:rsid w:val="329F01D6"/>
    <w:rsid w:val="340C0BC6"/>
    <w:rsid w:val="37D418BE"/>
    <w:rsid w:val="399D1A83"/>
    <w:rsid w:val="3D2D3A08"/>
    <w:rsid w:val="45A31000"/>
    <w:rsid w:val="47DF7AE3"/>
    <w:rsid w:val="4FF90DC3"/>
    <w:rsid w:val="546E73B5"/>
    <w:rsid w:val="5B6E45B1"/>
    <w:rsid w:val="5C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0" w:firstLineChars="200"/>
    </w:pPr>
    <w:rPr>
      <w:rFonts w:ascii="仿宋_GB2312" w:eastAsia="仿宋_GB2312"/>
      <w:color w:val="00000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2019-09-16T08:28:00Z</dcterms:created>
  <dc:creator>逍遥游</dc:creator>
  <cp:lastModifiedBy>王强</cp:lastModifiedBy>
  <dcterms:modified xsi:type="dcterms:W3CDTF">2021-09-01T08:29:05Z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597F8771A2F84C26A757D9EC470B830E</vt:lpwstr>
  </property>
</Properties>
</file>