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5" w:leftChars="-95" w:hanging="224" w:hangingChars="62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宁夏回族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自治区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药品监督管理局</w:t>
      </w:r>
    </w:p>
    <w:p>
      <w:pPr>
        <w:spacing w:line="360" w:lineRule="auto"/>
        <w:ind w:left="25" w:leftChars="-95" w:hanging="224" w:hangingChars="62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行政执法公示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实施细则</w:t>
      </w:r>
    </w:p>
    <w:p>
      <w:pPr>
        <w:spacing w:line="360" w:lineRule="auto"/>
        <w:ind w:left="75" w:leftChars="-95" w:hanging="274" w:hangingChars="62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      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为切实保障行政相对人和社会公众知情权、监督权，规范行政执法行为，根据《行政处罚法》《行政强制法》和《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宁夏回族自治区行政执法三项制度规定</w:t>
      </w:r>
      <w:r>
        <w:rPr>
          <w:rFonts w:hint="eastAsia" w:ascii="仿宋" w:hAnsi="仿宋" w:eastAsia="仿宋" w:cs="仿宋"/>
          <w:sz w:val="32"/>
          <w:szCs w:val="32"/>
        </w:rPr>
        <w:t>》等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结合我局实际，</w:t>
      </w:r>
      <w:r>
        <w:rPr>
          <w:rFonts w:hint="eastAsia" w:ascii="仿宋" w:hAnsi="仿宋" w:eastAsia="仿宋" w:cs="仿宋"/>
          <w:sz w:val="32"/>
          <w:szCs w:val="32"/>
        </w:rPr>
        <w:t>制定本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细则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细则</w:t>
      </w:r>
      <w:r>
        <w:rPr>
          <w:rFonts w:hint="eastAsia" w:ascii="仿宋" w:hAnsi="仿宋" w:eastAsia="仿宋" w:cs="仿宋"/>
          <w:sz w:val="32"/>
          <w:szCs w:val="32"/>
        </w:rPr>
        <w:t>所称行政执法公示，是指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自治区药品监督管理局</w:t>
      </w:r>
      <w:r>
        <w:rPr>
          <w:rFonts w:hint="eastAsia" w:ascii="仿宋" w:hAnsi="仿宋" w:eastAsia="仿宋" w:cs="仿宋"/>
          <w:sz w:val="32"/>
          <w:szCs w:val="32"/>
        </w:rPr>
        <w:t>通过一定载体和方式，在行政执法事前、事中和事后环节，主动向当事人或者社会公众公开、公布有关行政执法信息，自觉接受监督的活动。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行政执法公示应当遵循“谁执法谁公示”的原则，全面、准确、及时、主动地公开行政执法事前、事中和事后信息。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因法律、法规、规章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的修订</w:t>
      </w:r>
      <w:r>
        <w:rPr>
          <w:rFonts w:hint="eastAsia" w:ascii="仿宋" w:hAnsi="仿宋" w:eastAsia="仿宋" w:cs="仿宋"/>
          <w:sz w:val="32"/>
          <w:szCs w:val="32"/>
        </w:rPr>
        <w:t>等情况引起行政执法公示内容发生变化的，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局机关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局属执法单位应当</w:t>
      </w:r>
      <w:r>
        <w:rPr>
          <w:rFonts w:hint="eastAsia" w:ascii="仿宋" w:hAnsi="仿宋" w:eastAsia="仿宋" w:cs="仿宋"/>
          <w:sz w:val="32"/>
          <w:szCs w:val="32"/>
        </w:rPr>
        <w:t>及时更新相关公示内容。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行政执法信息事前公示环节包含以下内容：</w:t>
      </w:r>
    </w:p>
    <w:p>
      <w:pPr>
        <w:spacing w:line="560" w:lineRule="exact"/>
        <w:ind w:left="160" w:leftChars="76" w:firstLine="438" w:firstLineChars="13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（一）主体信息，行政执法机关名称、执法机构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内部</w:t>
      </w:r>
      <w:r>
        <w:rPr>
          <w:rFonts w:hint="eastAsia" w:ascii="仿宋" w:hAnsi="仿宋" w:eastAsia="仿宋" w:cs="仿宋"/>
          <w:sz w:val="32"/>
          <w:szCs w:val="32"/>
        </w:rPr>
        <w:t>设置、单位职能、岗位职责、办公地址、联系方式等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（二）人员信息，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行政执法人员姓名、单位、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职务、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执法类型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证件编号和有效期等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</w:rPr>
        <w:t>（三）行政执法机关权责清单、行政裁量权适用规则和裁量基准、委托执法协议书等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</w:rPr>
        <w:t>（四）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程序规定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default" w:ascii="仿宋" w:hAnsi="仿宋" w:eastAsia="仿宋" w:cs="仿宋"/>
          <w:sz w:val="32"/>
          <w:szCs w:val="32"/>
        </w:rPr>
        <w:t>服务指南、执法流程图、随机抽查事项清单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重大执法决定法制审核清单</w:t>
      </w:r>
      <w:r>
        <w:rPr>
          <w:rFonts w:hint="default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监督救济信息，举报电话、地址、邮编、邮箱及受理反馈程序，行政相对人依法享有听证权、陈述权、申辩权和申请行政复议或提起行政诉讼等法定权利和途径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="17" w:leftChars="0" w:firstLine="640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default" w:ascii="仿宋" w:hAnsi="仿宋" w:eastAsia="仿宋" w:cs="仿宋"/>
          <w:sz w:val="32"/>
          <w:szCs w:val="32"/>
        </w:rPr>
        <w:t>）法律、法规、规章或者行政规范性文件规定需要事前公开的，从其规定。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行政执法信息事中公示环节包含以下内容：</w:t>
      </w:r>
    </w:p>
    <w:p>
      <w:pPr>
        <w:numPr>
          <w:ilvl w:val="0"/>
          <w:numId w:val="2"/>
        </w:numPr>
        <w:spacing w:line="360" w:lineRule="auto"/>
        <w:ind w:left="160" w:leftChars="76" w:firstLine="438" w:firstLineChars="13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行政执法人员在进行监督检查、调查取证、采取强制措施和强制执行、送达执法文书等执法活动时，应当出示执法证件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360" w:lineRule="auto"/>
        <w:ind w:left="160" w:leftChars="76" w:firstLine="438" w:firstLineChars="13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政务服务窗口，应公示行政许可项目或服务事项的名称、依据、受理机构、许可条件、申请材料清单、材料文本式样、办事流程、办理期限、文本下载方式，咨询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投诉途径、监督部门以及窗口工作人员姓名、职务、职责等内容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360" w:lineRule="auto"/>
        <w:ind w:left="160" w:leftChars="76" w:firstLine="438" w:firstLineChars="13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（三）实施执法活动中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应告知当事人行政执法行为的事实、证据、法律依据、行政执法的内容，享有陈述、申辩、申请听证、申请回避、救济途径等法定权利和依法配合执法等法定义务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360" w:lineRule="auto"/>
        <w:ind w:left="160" w:leftChars="76" w:firstLine="438" w:firstLineChars="13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（四）法律、法规、规章或者规范性文件规定应当事中公示的其他行政执法信息。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行政执法信息事后公示环节包含以下内容：</w:t>
      </w:r>
    </w:p>
    <w:p>
      <w:pPr>
        <w:spacing w:line="360" w:lineRule="auto"/>
        <w:ind w:left="160" w:leftChars="76" w:firstLine="438" w:firstLineChars="13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（一）行政许可，许可单位名称、许可类别、许可范围、许可时间、有效期限等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360" w:lineRule="auto"/>
        <w:ind w:left="160" w:leftChars="76" w:firstLine="438" w:firstLineChars="13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（二）行政处罚，行政处罚决定书文号、案件名称、当事人姓氏或名称、违法事实、法律依据、执法决定、执法主体名称、日期等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360" w:lineRule="auto"/>
        <w:ind w:left="160" w:leftChars="76" w:firstLine="438" w:firstLineChars="13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（三）行政强制，强制措施名称、方式、结果、查封扣押清单等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360" w:lineRule="auto"/>
        <w:ind w:left="160" w:leftChars="76" w:firstLine="438" w:firstLineChars="13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（四）行政检查，检查对象、检查依据、检查方式、检查时间、检查内容、检查结果以及整改情况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360" w:lineRule="auto"/>
        <w:ind w:left="160" w:leftChars="76" w:firstLine="438" w:firstLineChars="13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（五）双随机抽查情况及查处结果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360" w:lineRule="auto"/>
        <w:ind w:left="160" w:leftChars="76" w:firstLine="438" w:firstLineChars="13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）行政执法机关上年度行政执法数据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）法律、法规、规章或者行政规范性文件规定需要事后公开的，从其规定。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行政执法结论公开可以采取信息摘要或者全文公开的方式。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行政执法信息摘要公开的，应当公开行政执法决定书的文号、案件名称、简要事实、法律依据、执法结论、执法机关名称、日期等。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行政执法信息全文公开的，应当隐去法定代表人以外的自然人名字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（当事人为个体工商户或者自然人的除外）</w:t>
      </w:r>
      <w:r>
        <w:rPr>
          <w:rFonts w:hint="eastAsia" w:ascii="仿宋" w:hAnsi="仿宋" w:eastAsia="仿宋" w:cs="仿宋"/>
          <w:sz w:val="32"/>
          <w:szCs w:val="32"/>
        </w:rPr>
        <w:t>，法定代表人和自然人的住址、身份证号码、通讯方式、银行账号、权属证书编号，法人或者其他组织的银行账号、权属证书编号，财产状况等。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局机关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局属执法单位</w:t>
      </w:r>
      <w:r>
        <w:rPr>
          <w:rFonts w:hint="eastAsia" w:ascii="仿宋" w:hAnsi="仿宋" w:eastAsia="仿宋" w:cs="仿宋"/>
          <w:sz w:val="32"/>
          <w:szCs w:val="32"/>
        </w:rPr>
        <w:t>按照“谁执法、谁公示，谁执法、谁录入，谁发布、谁负责”的原则，全面、准确、及时公开有关行政执法信息。法律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法规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规章另有规定的，从其规定。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行政执法信息可通过以下途径公示：</w:t>
      </w: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（一）网络平台，包括政府和局门户网站、行政执法信息公示平台、信用信息系统等；</w:t>
      </w: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（二）办公场所，在政务服务大厅或其他办公场所设置公示栏或电子显示屏，放置印制的公示册、公示卡、明白纸等；</w:t>
      </w: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（三）传统媒体，利用市级以上报刊、广播、电视、新闻发布会等形式，公示药品监督管理行政执法相关内容；</w:t>
      </w:r>
    </w:p>
    <w:p>
      <w:pPr>
        <w:numPr>
          <w:ilvl w:val="0"/>
          <w:numId w:val="0"/>
        </w:numPr>
        <w:tabs>
          <w:tab w:val="left" w:pos="0"/>
          <w:tab w:val="left" w:pos="7770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（四）新媒体，采用微信公众号、手机APP等现代信息传播方式，公示药品监督管理行政执法相关内容。 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行政执法信息有下列情形之一的，不予公开：</w:t>
      </w:r>
    </w:p>
    <w:p>
      <w:pPr>
        <w:spacing w:line="360" w:lineRule="auto"/>
        <w:ind w:left="160" w:leftChars="76" w:firstLine="438" w:firstLineChars="13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（一）属于国家秘密的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360" w:lineRule="auto"/>
        <w:ind w:left="160" w:leftChars="76" w:firstLine="438" w:firstLineChars="13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（二）属于商业秘密或者公开可能导致商业秘密被泄露的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360" w:lineRule="auto"/>
        <w:ind w:left="160" w:leftChars="76" w:firstLine="438" w:firstLineChars="13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（三）属于个人隐私或者公开可能导致对个人隐私权造成不当侵害的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360" w:lineRule="auto"/>
        <w:ind w:left="160" w:leftChars="76" w:firstLine="438" w:firstLineChars="13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（四）公开后可能危及系列案件调查处理的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360" w:lineRule="auto"/>
        <w:ind w:left="160" w:leftChars="76" w:firstLine="438" w:firstLineChars="13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（五）可能危及国家安全、公共安全、经济安全和社会稳定等法律、法规、规章规定不得公开的。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除法律法规另有规定外，行政执法机关要在执法决定作出之日起20个工作日内公开，行政许可、行政处罚的执法决定信息要在执法决定作出之日起7个工作日内公开，接受社会监督。</w:t>
      </w: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随机抽查结果正常的，自抽查结束之日起20个工作日内向社会公示，对抽查有问题的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被抽检对象</w:t>
      </w:r>
      <w:r>
        <w:rPr>
          <w:rFonts w:hint="eastAsia" w:ascii="仿宋" w:hAnsi="仿宋" w:eastAsia="仿宋" w:cs="仿宋"/>
          <w:sz w:val="32"/>
          <w:szCs w:val="32"/>
        </w:rPr>
        <w:t>，区分情况依法做出处理后向社会公示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每年1月15日前将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上年度行政执法总体情况有关数据报司法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厅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国家药品监督管理局。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每年1月31日前在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门户网站公开上年度行政执法总体情况有关数据。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行政执法公开信息发生变化或者依法撤销、确认违法、重新作出的，应当自变更之日起20个工作日内及时调整更新。 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执法部门发现其公示的行政执法信息不准确的，应当经本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和分管局领导</w:t>
      </w:r>
      <w:r>
        <w:rPr>
          <w:rFonts w:hint="eastAsia" w:ascii="仿宋" w:hAnsi="仿宋" w:eastAsia="仿宋" w:cs="仿宋"/>
          <w:sz w:val="32"/>
          <w:szCs w:val="32"/>
        </w:rPr>
        <w:t>审批后及时更正。</w:t>
      </w: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公民、法人或者其他组织有证据证明公示的行政执法信息不准确的，有权要求该部门予以更正。执法部门应当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10个工作日内</w:t>
      </w: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分管局领导</w:t>
      </w:r>
      <w:r>
        <w:rPr>
          <w:rFonts w:hint="eastAsia" w:ascii="仿宋" w:hAnsi="仿宋" w:eastAsia="仿宋" w:cs="仿宋"/>
          <w:sz w:val="32"/>
          <w:szCs w:val="32"/>
        </w:rPr>
        <w:t>审批后更正。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各处、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局属执法单位</w:t>
      </w:r>
      <w:r>
        <w:rPr>
          <w:rFonts w:hint="eastAsia" w:ascii="仿宋" w:hAnsi="仿宋" w:eastAsia="仿宋" w:cs="仿宋"/>
          <w:sz w:val="32"/>
          <w:szCs w:val="32"/>
        </w:rPr>
        <w:t>应当明确专门人员和机构负责公示内容的梳理、汇总、传递、发布和更新工作，公开执法信息应当进行内部审核，明确审查的程序和责任，对拟公示的信息依法进行审查，未经审查不得发布。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建立健全考核制度，加强对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局执法部门和局</w:t>
      </w:r>
      <w:r>
        <w:rPr>
          <w:rFonts w:hint="eastAsia" w:ascii="仿宋" w:hAnsi="仿宋" w:eastAsia="仿宋" w:cs="仿宋"/>
          <w:sz w:val="32"/>
          <w:szCs w:val="32"/>
        </w:rPr>
        <w:t>属执法部门行政执法公示制度推行情况的监督检查。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建立健全责任追究制度，对不按要求公示、选择性公示、更新维护不及时等问题，责令改正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情节严重的，追究有关责任人员责任。</w:t>
      </w:r>
    </w:p>
    <w:p>
      <w:pPr>
        <w:numPr>
          <w:ilvl w:val="0"/>
          <w:numId w:val="1"/>
        </w:numPr>
        <w:spacing w:line="360" w:lineRule="auto"/>
        <w:ind w:left="0" w:leftChars="0" w:firstLine="737" w:firstLineChars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本细则自发布之日起施行。</w:t>
      </w: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="737" w:leftChars="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宁夏回族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自治区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药品监督管理局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行政执法公示事项清单</w:t>
      </w:r>
    </w:p>
    <w:tbl>
      <w:tblPr>
        <w:tblStyle w:val="7"/>
        <w:tblW w:w="144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01"/>
        <w:gridCol w:w="800"/>
        <w:gridCol w:w="938"/>
        <w:gridCol w:w="1212"/>
        <w:gridCol w:w="3200"/>
        <w:gridCol w:w="2163"/>
        <w:gridCol w:w="812"/>
        <w:gridCol w:w="800"/>
        <w:gridCol w:w="2063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00" w:type="dxa"/>
            <w:noWrap w:val="0"/>
            <w:vAlign w:val="center"/>
          </w:tcPr>
          <w:p>
            <w:pPr>
              <w:tabs>
                <w:tab w:val="left" w:pos="499"/>
              </w:tabs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公示环节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公示类别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公示事项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公示</w:t>
            </w:r>
          </w:p>
          <w:p>
            <w:pPr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主体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公示内容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公示</w:t>
            </w:r>
          </w:p>
          <w:p>
            <w:pPr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途径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公示</w:t>
            </w:r>
          </w:p>
          <w:p>
            <w:pPr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对象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公示时长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公示期限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采集部门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事前公示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主体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执法主体及职责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宁夏回族自治区药品监督管理局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宁夏回族自治区药品监督管理局</w:t>
            </w:r>
            <w:r>
              <w:rPr>
                <w:rFonts w:hint="eastAsia" w:ascii="仿宋" w:hAnsi="仿宋" w:eastAsia="仿宋" w:cs="仿宋"/>
                <w:sz w:val="24"/>
              </w:rPr>
              <w:t>名称、办公地址、联系电话、执法机构设置、单位职能、岗位职责等内容。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z w:val="24"/>
              </w:rPr>
              <w:t>门户网站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社会公众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长期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自信息形成或变更之日起20个工作日内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综合处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事前公示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执法人员基本情况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宁夏回族自治区药品监督管理局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执法人员姓名、单位、职务、证件编号、有效期等内容。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z w:val="24"/>
              </w:rPr>
              <w:t>门户网站或行政执法信息公示平台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社会公众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长期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自信息形成或变更之日起20个工作日内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机关党委（人事处）、</w:t>
            </w:r>
            <w:r>
              <w:rPr>
                <w:rFonts w:hint="eastAsia" w:ascii="仿宋" w:hAnsi="仿宋" w:eastAsia="仿宋" w:cs="仿宋"/>
                <w:sz w:val="24"/>
              </w:rPr>
              <w:t>政策法规处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事前公示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依据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主要执法依据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宁夏回族自治区药品监督管理局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行政执法依据的法律法规、规章、行政裁量权适用规则、委托执法协议等。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z w:val="24"/>
              </w:rPr>
              <w:t>门户网站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社会公众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长期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自信息形成或变更之日起20个工作日内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政策法规处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事前公示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程序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程序规定内容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宁夏回族自治区药品监督管理局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程序规定、时限、执法流程图和行政执法服务指南。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z w:val="24"/>
              </w:rPr>
              <w:t>门户网站或行政执法信息公示平台，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政务服务</w:t>
            </w:r>
            <w:r>
              <w:rPr>
                <w:rFonts w:hint="eastAsia" w:ascii="仿宋" w:hAnsi="仿宋" w:eastAsia="仿宋" w:cs="仿宋"/>
                <w:sz w:val="24"/>
              </w:rPr>
              <w:t>大厅或其他办公场所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社会公众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长期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自信息形成或变更之日起20个工作日内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事前公示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清单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主要执法服务内容清单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宁夏回族自治区药品监督管理局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权责清单、随机抽查事项清单等。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z w:val="24"/>
              </w:rPr>
              <w:t>门户网站或行政执法信息公示平台，国家企业信用信息公示系统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社会公众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长期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自信息形成或变更之日起20个工作日内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事前公示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监督救济信息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行政相对人享有的权利和救济途径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宁夏回族自治区药品监督管理局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举报电话、地址、邮编、邮箱及受理反馈程序，行政相对人依法享有听证权、陈述权、申辩权和申请行政复议或提起行政诉讼等法定权利和途径。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z w:val="24"/>
              </w:rPr>
              <w:t>门户网站或行政执法信息公示平台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社会公众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长期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自信息形成或变更之日起20个工作日内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事中公示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执法人员身份信息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执法人员亮明身份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宁夏回族自治区药品监督管理局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行政执法人员实施行政处罚、行政强制、行政检查等执法活动时，要按规定出示执法证件。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执法现场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行政相对人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实时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实施具体行政行为时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事中公示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行政服务信息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主要服务事项内容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宁夏回族自治区药品监督管理局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行政许可项目或服务事项名称、依据、受理机构、许可条件、申请材料清单、书式材料文本式样、办事流程、办理期限、书式文本下载方式，咨询投诉途径、监督部门，窗口工作人员姓名、职务、职责等内容。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政务服务大厅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z w:val="24"/>
              </w:rPr>
              <w:t>门户网站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社会公众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长期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行政许可和结果，在信息形成或者变更之日起7个工作日之内公开，其他信息自信息形成或变更之日起20个工作日内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事中公示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执法活动信息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执法依据、具体执法行为等内容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宁夏回族自治区药品监督管理局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告知当事人行政执法行为的事实、证据、法律依据、行政执法的内容，享有陈述、申辩、申请听证、申请回避、救济途径等法定权利和依法配合等法定义务。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口头告知、法定文书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行政相对人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实时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事后公示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行政许可信息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具体许可项目内容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宁夏回族自治区药品监督管理局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许可单位名称、许可类别、许可范围、许可时间、有效期限等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政务服务大厅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z w:val="24"/>
              </w:rPr>
              <w:t>门户网站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行政相对人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许可项目有效期内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行政许可信息在许可</w:t>
            </w:r>
            <w:r>
              <w:rPr>
                <w:rFonts w:hint="eastAsia" w:ascii="仿宋" w:hAnsi="仿宋" w:eastAsia="仿宋" w:cs="仿宋"/>
                <w:sz w:val="24"/>
              </w:rPr>
              <w:t>决定作出之日起7个工作日内公开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，其它相关决定在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20个工作日内公开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事后公示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行政处罚信息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具体处罚内容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宁夏回族自治区药品监督管理局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处罚决定书文号、案件名称、当事人名称或姓名、违法事实、法律依据、执法决定、执法主体名称、日期等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z w:val="24"/>
              </w:rPr>
              <w:t>门户网站、行政执法信息公示平台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行政相对人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公示之日起5年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行政</w:t>
            </w:r>
            <w:r>
              <w:rPr>
                <w:rFonts w:hint="eastAsia" w:ascii="仿宋" w:hAnsi="仿宋" w:eastAsia="仿宋" w:cs="仿宋"/>
                <w:sz w:val="24"/>
              </w:rPr>
              <w:t>处罚信息在作出处罚决定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之日起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个工作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日内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公开，其它相关决定在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20个工作日内公开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事后公示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行政强制信息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强制措施名称、期限等内容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宁夏回族自治区药品监督管理局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强制措施名称、方式、结果、查封扣押清单等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执法现场、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z w:val="24"/>
              </w:rPr>
              <w:t>门户网站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行政相对人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实时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行政结果，在信息形成或者变更之日起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</w:rPr>
              <w:t>个工作日之内公开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行政检查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具体检查事项信息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检查方式、内容等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宁夏回族自治区药品监督管理局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检查对象、检查依据、检查方式、检查时间、检查内容、检查结果及整改情况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sz w:val="24"/>
              </w:rPr>
              <w:t>门户网站、国家企业信用信息公示系统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行政相对人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实时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信息自信息形成或变更之日起20个工作日内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相关处</w:t>
            </w:r>
          </w:p>
        </w:tc>
      </w:tr>
    </w:tbl>
    <w:p>
      <w:pPr>
        <w:numPr>
          <w:ilvl w:val="0"/>
          <w:numId w:val="0"/>
        </w:numPr>
        <w:tabs>
          <w:tab w:val="left" w:pos="0"/>
        </w:tabs>
        <w:spacing w:line="360" w:lineRule="auto"/>
        <w:ind w:left="737" w:leftChars="0"/>
        <w:rPr>
          <w:rFonts w:hint="eastAsia" w:ascii="仿宋" w:hAnsi="仿宋" w:eastAsia="仿宋" w:cs="仿宋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EC13A5"/>
    <w:multiLevelType w:val="singleLevel"/>
    <w:tmpl w:val="BCEC13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03512A"/>
    <w:multiLevelType w:val="singleLevel"/>
    <w:tmpl w:val="3003512A"/>
    <w:lvl w:ilvl="0" w:tentative="0">
      <w:start w:val="1"/>
      <w:numFmt w:val="chineseCounting"/>
      <w:suff w:val="space"/>
      <w:lvlText w:val="第%1条"/>
      <w:lvlJc w:val="left"/>
      <w:pPr>
        <w:tabs>
          <w:tab w:val="left" w:pos="0"/>
        </w:tabs>
        <w:ind w:firstLine="737"/>
      </w:pPr>
      <w:rPr>
        <w:rFonts w:hint="eastAsia" w:eastAsia="黑体"/>
        <w:sz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B2A8D"/>
    <w:rsid w:val="000B7DBC"/>
    <w:rsid w:val="01C4446D"/>
    <w:rsid w:val="031C0E50"/>
    <w:rsid w:val="05D27719"/>
    <w:rsid w:val="05E71384"/>
    <w:rsid w:val="073A2FFD"/>
    <w:rsid w:val="08295B93"/>
    <w:rsid w:val="085E4E3F"/>
    <w:rsid w:val="09910D3A"/>
    <w:rsid w:val="0AA55667"/>
    <w:rsid w:val="0AEB55FA"/>
    <w:rsid w:val="0B0E6115"/>
    <w:rsid w:val="1045570F"/>
    <w:rsid w:val="144F0F85"/>
    <w:rsid w:val="17625F89"/>
    <w:rsid w:val="17635EDE"/>
    <w:rsid w:val="19A56D67"/>
    <w:rsid w:val="1BD44458"/>
    <w:rsid w:val="1EA80BD7"/>
    <w:rsid w:val="224F04BD"/>
    <w:rsid w:val="29A80092"/>
    <w:rsid w:val="2C2B2A8D"/>
    <w:rsid w:val="2C6F3474"/>
    <w:rsid w:val="2DF02D5B"/>
    <w:rsid w:val="312D3B9B"/>
    <w:rsid w:val="32C05C22"/>
    <w:rsid w:val="34532766"/>
    <w:rsid w:val="34D71130"/>
    <w:rsid w:val="36381C20"/>
    <w:rsid w:val="36F375DC"/>
    <w:rsid w:val="36F8541E"/>
    <w:rsid w:val="37A24EF2"/>
    <w:rsid w:val="381C65F5"/>
    <w:rsid w:val="385E4F94"/>
    <w:rsid w:val="39FC3F16"/>
    <w:rsid w:val="3B7F65F2"/>
    <w:rsid w:val="3F174756"/>
    <w:rsid w:val="40B51063"/>
    <w:rsid w:val="4488375F"/>
    <w:rsid w:val="4592093E"/>
    <w:rsid w:val="4CCB1397"/>
    <w:rsid w:val="4D771198"/>
    <w:rsid w:val="4F7423E0"/>
    <w:rsid w:val="4F813FC4"/>
    <w:rsid w:val="50EE7DA6"/>
    <w:rsid w:val="54B9509A"/>
    <w:rsid w:val="56667B97"/>
    <w:rsid w:val="592A5D98"/>
    <w:rsid w:val="597F7976"/>
    <w:rsid w:val="5A2C4911"/>
    <w:rsid w:val="5CAA75D9"/>
    <w:rsid w:val="5E211E88"/>
    <w:rsid w:val="5FAF24BD"/>
    <w:rsid w:val="60155BBA"/>
    <w:rsid w:val="61CA3A08"/>
    <w:rsid w:val="620027C2"/>
    <w:rsid w:val="62E2490A"/>
    <w:rsid w:val="6639019C"/>
    <w:rsid w:val="664B7E2D"/>
    <w:rsid w:val="683175AB"/>
    <w:rsid w:val="68995F9D"/>
    <w:rsid w:val="68B66B55"/>
    <w:rsid w:val="6B0569C1"/>
    <w:rsid w:val="6D5E6BF5"/>
    <w:rsid w:val="6D85161D"/>
    <w:rsid w:val="6F241C85"/>
    <w:rsid w:val="6F313DE6"/>
    <w:rsid w:val="717D427F"/>
    <w:rsid w:val="73351664"/>
    <w:rsid w:val="73D64D2B"/>
    <w:rsid w:val="74620372"/>
    <w:rsid w:val="74C85917"/>
    <w:rsid w:val="765A0CBC"/>
    <w:rsid w:val="772D117E"/>
    <w:rsid w:val="7A487B05"/>
    <w:rsid w:val="7DAC405A"/>
    <w:rsid w:val="7F76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2459</Words>
  <Characters>2464</Characters>
  <Lines>0</Lines>
  <Paragraphs>0</Paragraphs>
  <TotalTime>1</TotalTime>
  <ScaleCrop>false</ScaleCrop>
  <LinksUpToDate>false</LinksUpToDate>
  <CharactersWithSpaces>2531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2019-08-29T09:18:00Z</dcterms:created>
  <dc:creator>逍遥游</dc:creator>
  <cp:lastModifiedBy>逍遥游</cp:lastModifiedBy>
  <dcterms:modified xsi:type="dcterms:W3CDTF">2019-11-14T01:17:52Z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