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9"/>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宁夏回族自治区药品</w:t>
      </w:r>
      <w:r>
        <w:rPr>
          <w:rFonts w:hint="eastAsia" w:asciiTheme="majorEastAsia" w:hAnsiTheme="majorEastAsia" w:eastAsiaTheme="majorEastAsia" w:cstheme="majorEastAsia"/>
          <w:b/>
          <w:bCs/>
          <w:sz w:val="36"/>
          <w:szCs w:val="36"/>
        </w:rPr>
        <w:t>监督管理</w:t>
      </w:r>
      <w:r>
        <w:rPr>
          <w:rFonts w:hint="eastAsia" w:asciiTheme="majorEastAsia" w:hAnsiTheme="majorEastAsia" w:eastAsiaTheme="majorEastAsia" w:cstheme="majorEastAsia"/>
          <w:b/>
          <w:bCs/>
          <w:sz w:val="36"/>
          <w:szCs w:val="36"/>
          <w:lang w:eastAsia="zh-CN"/>
        </w:rPr>
        <w:t>局</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9"/>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重大行政执法决定法制审核</w:t>
      </w:r>
      <w:r>
        <w:rPr>
          <w:rFonts w:hint="eastAsia" w:asciiTheme="majorEastAsia" w:hAnsiTheme="majorEastAsia" w:eastAsiaTheme="majorEastAsia" w:cstheme="majorEastAsia"/>
          <w:b/>
          <w:bCs/>
          <w:sz w:val="36"/>
          <w:szCs w:val="36"/>
          <w:lang w:eastAsia="zh-CN"/>
        </w:rPr>
        <w:t>实施细则</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839" w:firstLineChars="190"/>
        <w:jc w:val="center"/>
        <w:textAlignment w:val="auto"/>
        <w:outlineLvl w:val="9"/>
        <w:rPr>
          <w:rFonts w:hint="eastAsia" w:asciiTheme="majorEastAsia" w:hAnsiTheme="majorEastAsia" w:eastAsiaTheme="majorEastAsia" w:cstheme="majorEastAsia"/>
          <w:b/>
          <w:bCs/>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为加强执法监督，规范重大行政执法行为，促进依法行政，根据《行政处罚法》《行政许可法》《行政强制法》</w:t>
      </w:r>
      <w:r>
        <w:rPr>
          <w:rFonts w:hint="eastAsia" w:ascii="仿宋" w:hAnsi="仿宋" w:eastAsia="仿宋" w:cs="仿宋"/>
          <w:sz w:val="32"/>
          <w:szCs w:val="32"/>
          <w:lang w:eastAsia="zh-CN"/>
        </w:rPr>
        <w:t>《</w:t>
      </w:r>
      <w:r>
        <w:rPr>
          <w:rFonts w:hint="eastAsia" w:ascii="仿宋" w:hAnsi="仿宋" w:eastAsia="仿宋" w:cs="仿宋"/>
          <w:sz w:val="32"/>
          <w:szCs w:val="32"/>
        </w:rPr>
        <w:t>市场监督管理行政处罚程序暂行规定</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宁夏回族自治区行政执法三项制度规定</w:t>
      </w:r>
      <w:r>
        <w:rPr>
          <w:rFonts w:hint="eastAsia" w:ascii="仿宋" w:hAnsi="仿宋" w:eastAsia="仿宋" w:cs="仿宋"/>
          <w:sz w:val="32"/>
          <w:szCs w:val="32"/>
        </w:rPr>
        <w:t>》等</w:t>
      </w:r>
      <w:r>
        <w:rPr>
          <w:rFonts w:hint="eastAsia" w:ascii="仿宋" w:hAnsi="仿宋" w:eastAsia="仿宋" w:cs="仿宋"/>
          <w:sz w:val="32"/>
          <w:szCs w:val="32"/>
          <w:lang w:eastAsia="zh-CN"/>
        </w:rPr>
        <w:t>法律法规</w:t>
      </w:r>
      <w:r>
        <w:rPr>
          <w:rFonts w:hint="eastAsia" w:ascii="仿宋" w:hAnsi="仿宋" w:eastAsia="仿宋" w:cs="仿宋"/>
          <w:sz w:val="32"/>
          <w:szCs w:val="32"/>
        </w:rPr>
        <w:t>，</w:t>
      </w:r>
      <w:r>
        <w:rPr>
          <w:rFonts w:hint="eastAsia" w:ascii="仿宋" w:hAnsi="仿宋" w:eastAsia="仿宋" w:cs="仿宋"/>
          <w:sz w:val="32"/>
          <w:szCs w:val="32"/>
          <w:lang w:eastAsia="zh-CN"/>
        </w:rPr>
        <w:t>结合我局实际，</w:t>
      </w:r>
      <w:r>
        <w:rPr>
          <w:rFonts w:hint="eastAsia" w:ascii="仿宋" w:hAnsi="仿宋" w:eastAsia="仿宋" w:cs="仿宋"/>
          <w:sz w:val="32"/>
          <w:szCs w:val="32"/>
        </w:rPr>
        <w:t>特制定</w:t>
      </w:r>
      <w:r>
        <w:rPr>
          <w:rFonts w:hint="eastAsia" w:ascii="仿宋" w:hAnsi="仿宋" w:eastAsia="仿宋" w:cs="仿宋"/>
          <w:sz w:val="32"/>
          <w:szCs w:val="32"/>
          <w:lang w:eastAsia="zh-CN"/>
        </w:rPr>
        <w:t>本细则</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default" w:ascii="黑体" w:hAnsi="黑体" w:eastAsia="黑体" w:cs="黑体"/>
          <w:b w:val="0"/>
          <w:bCs w:val="0"/>
          <w:sz w:val="32"/>
          <w:szCs w:val="32"/>
          <w:lang w:val="en-US" w:eastAsia="zh-CN"/>
        </w:rPr>
      </w:pPr>
      <w:r>
        <w:rPr>
          <w:rFonts w:hint="eastAsia" w:ascii="仿宋" w:hAnsi="仿宋" w:eastAsia="仿宋" w:cs="仿宋"/>
          <w:sz w:val="32"/>
          <w:szCs w:val="32"/>
          <w:lang w:val="en-US" w:eastAsia="zh-CN"/>
        </w:rPr>
        <w:t>本细则所称重大行政执法决定法制审核，是指自治区药品监督管理局在作出重大行政执法决定前，由政策法规处进行合法性和适当性审核，提出书面审核意见或者建议的内部行政执法监督活动。</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i w:val="0"/>
          <w:caps w:val="0"/>
          <w:color w:val="333333"/>
          <w:spacing w:val="0"/>
          <w:kern w:val="2"/>
          <w:sz w:val="32"/>
          <w:szCs w:val="32"/>
          <w:lang w:val="en-US" w:eastAsia="zh-CN" w:bidi="ar-SA"/>
        </w:rPr>
      </w:pPr>
      <w:r>
        <w:rPr>
          <w:rFonts w:hint="eastAsia" w:ascii="仿宋" w:hAnsi="仿宋" w:eastAsia="仿宋" w:cs="仿宋"/>
          <w:i w:val="0"/>
          <w:caps w:val="0"/>
          <w:color w:val="333333"/>
          <w:spacing w:val="0"/>
          <w:kern w:val="2"/>
          <w:sz w:val="32"/>
          <w:szCs w:val="32"/>
          <w:lang w:val="en-US" w:eastAsia="zh-CN" w:bidi="ar-SA"/>
        </w:rPr>
        <w:t>作出重大行政执法决定前，应当进行法制审核，未经法制审核或者审核未通过的，不得作出决定。</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i w:val="0"/>
          <w:caps w:val="0"/>
          <w:color w:val="333333"/>
          <w:spacing w:val="0"/>
          <w:kern w:val="2"/>
          <w:sz w:val="32"/>
          <w:szCs w:val="32"/>
          <w:lang w:val="en-US" w:eastAsia="zh-CN" w:bidi="ar-SA"/>
        </w:rPr>
      </w:pPr>
      <w:r>
        <w:rPr>
          <w:rFonts w:hint="eastAsia" w:ascii="仿宋" w:hAnsi="仿宋" w:eastAsia="仿宋" w:cs="仿宋"/>
          <w:i w:val="0"/>
          <w:caps w:val="0"/>
          <w:color w:val="333333"/>
          <w:spacing w:val="0"/>
          <w:kern w:val="2"/>
          <w:sz w:val="32"/>
          <w:szCs w:val="32"/>
          <w:lang w:val="en-US" w:eastAsia="zh-CN" w:bidi="ar-SA"/>
        </w:rPr>
        <w:t>其他行政执法决定，局负责人认为需要审核的，也应当进行法制审核。</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行政执法事项符合下列情形的，应当列入重大行政执法决定法制审核范围：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i w:val="0"/>
          <w:caps w:val="0"/>
          <w:color w:val="333333"/>
          <w:spacing w:val="0"/>
          <w:sz w:val="32"/>
          <w:szCs w:val="32"/>
        </w:rPr>
      </w:pPr>
      <w:r>
        <w:rPr>
          <w:rFonts w:hint="default" w:ascii="仿宋" w:hAnsi="仿宋" w:eastAsia="仿宋" w:cs="仿宋"/>
          <w:i w:val="0"/>
          <w:caps w:val="0"/>
          <w:color w:val="333333"/>
          <w:spacing w:val="0"/>
          <w:sz w:val="32"/>
          <w:szCs w:val="32"/>
        </w:rPr>
        <w:t>（一）涉及重大公共利益的；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i w:val="0"/>
          <w:caps w:val="0"/>
          <w:color w:val="333333"/>
          <w:spacing w:val="0"/>
          <w:sz w:val="32"/>
          <w:szCs w:val="32"/>
        </w:rPr>
      </w:pPr>
      <w:r>
        <w:rPr>
          <w:rFonts w:hint="default" w:ascii="仿宋" w:hAnsi="仿宋" w:eastAsia="仿宋" w:cs="仿宋"/>
          <w:i w:val="0"/>
          <w:caps w:val="0"/>
          <w:color w:val="333333"/>
          <w:spacing w:val="0"/>
          <w:sz w:val="32"/>
          <w:szCs w:val="32"/>
        </w:rPr>
        <w:t>（二）可能造成重大社会影响或者引发社会风险的；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i w:val="0"/>
          <w:caps w:val="0"/>
          <w:color w:val="333333"/>
          <w:spacing w:val="0"/>
          <w:sz w:val="32"/>
          <w:szCs w:val="32"/>
        </w:rPr>
      </w:pPr>
      <w:r>
        <w:rPr>
          <w:rFonts w:hint="default" w:ascii="仿宋" w:hAnsi="仿宋" w:eastAsia="仿宋" w:cs="仿宋"/>
          <w:i w:val="0"/>
          <w:caps w:val="0"/>
          <w:color w:val="333333"/>
          <w:spacing w:val="0"/>
          <w:sz w:val="32"/>
          <w:szCs w:val="32"/>
        </w:rPr>
        <w:t>（三）直接关系行政管理相对人或者他人重大权益的；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i w:val="0"/>
          <w:caps w:val="0"/>
          <w:color w:val="333333"/>
          <w:spacing w:val="0"/>
          <w:sz w:val="32"/>
          <w:szCs w:val="32"/>
        </w:rPr>
      </w:pPr>
      <w:r>
        <w:rPr>
          <w:rFonts w:hint="default" w:ascii="仿宋" w:hAnsi="仿宋" w:eastAsia="仿宋" w:cs="仿宋"/>
          <w:i w:val="0"/>
          <w:caps w:val="0"/>
          <w:color w:val="333333"/>
          <w:spacing w:val="0"/>
          <w:sz w:val="32"/>
          <w:szCs w:val="32"/>
        </w:rPr>
        <w:t>（四）经过听证程序作出行政执法决定的；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i w:val="0"/>
          <w:caps w:val="0"/>
          <w:color w:val="333333"/>
          <w:spacing w:val="0"/>
          <w:sz w:val="32"/>
          <w:szCs w:val="32"/>
        </w:rPr>
      </w:pPr>
      <w:r>
        <w:rPr>
          <w:rFonts w:hint="default" w:ascii="仿宋" w:hAnsi="仿宋" w:eastAsia="仿宋" w:cs="仿宋"/>
          <w:i w:val="0"/>
          <w:caps w:val="0"/>
          <w:color w:val="333333"/>
          <w:spacing w:val="0"/>
          <w:sz w:val="32"/>
          <w:szCs w:val="32"/>
        </w:rPr>
        <w:t>（五）案件情况疑难复杂、涉及多个法律关系的；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default" w:ascii="仿宋" w:hAnsi="仿宋" w:eastAsia="仿宋" w:cs="仿宋"/>
          <w:i w:val="0"/>
          <w:caps w:val="0"/>
          <w:color w:val="333333"/>
          <w:spacing w:val="0"/>
          <w:kern w:val="2"/>
          <w:sz w:val="32"/>
          <w:szCs w:val="32"/>
          <w:lang w:val="en-US" w:eastAsia="zh-CN" w:bidi="ar-SA"/>
        </w:rPr>
      </w:pPr>
      <w:r>
        <w:rPr>
          <w:rFonts w:hint="default" w:ascii="仿宋" w:hAnsi="仿宋" w:eastAsia="仿宋" w:cs="仿宋"/>
          <w:i w:val="0"/>
          <w:caps w:val="0"/>
          <w:color w:val="333333"/>
          <w:spacing w:val="0"/>
          <w:kern w:val="2"/>
          <w:sz w:val="32"/>
          <w:szCs w:val="32"/>
          <w:lang w:val="en-US" w:eastAsia="zh-CN" w:bidi="ar-SA"/>
        </w:rPr>
        <w:t>（六）</w:t>
      </w:r>
      <w:r>
        <w:rPr>
          <w:rFonts w:hint="eastAsia" w:ascii="仿宋" w:hAnsi="仿宋" w:eastAsia="仿宋" w:cs="仿宋"/>
          <w:sz w:val="32"/>
          <w:szCs w:val="32"/>
          <w:lang w:eastAsia="zh-CN"/>
        </w:rPr>
        <w:t>适用行政处罚</w:t>
      </w:r>
      <w:r>
        <w:rPr>
          <w:rFonts w:hint="eastAsia" w:ascii="仿宋" w:hAnsi="仿宋" w:eastAsia="仿宋" w:cs="仿宋"/>
          <w:sz w:val="32"/>
          <w:szCs w:val="32"/>
        </w:rPr>
        <w:t>一般程序</w:t>
      </w:r>
      <w:r>
        <w:rPr>
          <w:rFonts w:hint="eastAsia" w:ascii="仿宋" w:hAnsi="仿宋" w:eastAsia="仿宋" w:cs="仿宋"/>
          <w:sz w:val="32"/>
          <w:szCs w:val="32"/>
          <w:lang w:eastAsia="zh-CN"/>
        </w:rPr>
        <w:t>处理的违法</w:t>
      </w:r>
      <w:r>
        <w:rPr>
          <w:rFonts w:hint="eastAsia" w:ascii="仿宋" w:hAnsi="仿宋" w:eastAsia="仿宋" w:cs="仿宋"/>
          <w:sz w:val="32"/>
          <w:szCs w:val="32"/>
        </w:rPr>
        <w:t>案件；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default" w:ascii="仿宋" w:hAnsi="仿宋" w:eastAsia="仿宋" w:cs="仿宋"/>
          <w:i w:val="0"/>
          <w:caps w:val="0"/>
          <w:color w:val="333333"/>
          <w:spacing w:val="0"/>
          <w:kern w:val="2"/>
          <w:sz w:val="32"/>
          <w:szCs w:val="32"/>
          <w:lang w:val="en-US" w:eastAsia="zh-CN" w:bidi="ar-SA"/>
        </w:rPr>
      </w:pPr>
      <w:r>
        <w:rPr>
          <w:rFonts w:hint="default" w:ascii="仿宋" w:hAnsi="仿宋" w:eastAsia="仿宋" w:cs="仿宋"/>
          <w:i w:val="0"/>
          <w:caps w:val="0"/>
          <w:color w:val="333333"/>
          <w:spacing w:val="0"/>
          <w:kern w:val="2"/>
          <w:sz w:val="32"/>
          <w:szCs w:val="32"/>
          <w:lang w:val="en-US" w:eastAsia="zh-CN" w:bidi="ar-SA"/>
        </w:rPr>
        <w:t>（</w:t>
      </w:r>
      <w:r>
        <w:rPr>
          <w:rFonts w:hint="eastAsia" w:ascii="仿宋" w:hAnsi="仿宋" w:eastAsia="仿宋" w:cs="仿宋"/>
          <w:i w:val="0"/>
          <w:caps w:val="0"/>
          <w:color w:val="333333"/>
          <w:spacing w:val="0"/>
          <w:kern w:val="2"/>
          <w:sz w:val="32"/>
          <w:szCs w:val="32"/>
          <w:lang w:val="en-US" w:eastAsia="zh-CN" w:bidi="ar-SA"/>
        </w:rPr>
        <w:t>七</w:t>
      </w:r>
      <w:r>
        <w:rPr>
          <w:rFonts w:hint="default" w:ascii="仿宋" w:hAnsi="仿宋" w:eastAsia="仿宋" w:cs="仿宋"/>
          <w:i w:val="0"/>
          <w:caps w:val="0"/>
          <w:color w:val="333333"/>
          <w:spacing w:val="0"/>
          <w:kern w:val="2"/>
          <w:sz w:val="32"/>
          <w:szCs w:val="32"/>
          <w:lang w:val="en-US" w:eastAsia="zh-CN" w:bidi="ar-SA"/>
        </w:rPr>
        <w:t>）法律、法规、规章或者行政规范性文件规定应当进行法制审核的。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rPr>
          <w:rFonts w:hint="eastAsia" w:ascii="仿宋" w:hAnsi="仿宋" w:eastAsia="仿宋" w:cs="仿宋"/>
          <w:i w:val="0"/>
          <w:caps w:val="0"/>
          <w:color w:val="333333"/>
          <w:spacing w:val="0"/>
          <w:kern w:val="2"/>
          <w:sz w:val="32"/>
          <w:szCs w:val="32"/>
          <w:lang w:val="en-US" w:eastAsia="zh-CN" w:bidi="ar-SA"/>
        </w:rPr>
      </w:pPr>
      <w:r>
        <w:rPr>
          <w:rFonts w:hint="eastAsia" w:ascii="仿宋" w:hAnsi="仿宋" w:eastAsia="仿宋" w:cs="仿宋"/>
          <w:i w:val="0"/>
          <w:caps w:val="0"/>
          <w:color w:val="333333"/>
          <w:spacing w:val="0"/>
          <w:sz w:val="32"/>
          <w:szCs w:val="32"/>
        </w:rPr>
        <w:t>对是否属于重大行政执法决定有异议的，由承办机构会同</w:t>
      </w:r>
      <w:r>
        <w:rPr>
          <w:rFonts w:hint="eastAsia" w:ascii="仿宋" w:hAnsi="仿宋" w:eastAsia="仿宋" w:cs="仿宋"/>
          <w:i w:val="0"/>
          <w:caps w:val="0"/>
          <w:color w:val="333333"/>
          <w:spacing w:val="0"/>
          <w:sz w:val="32"/>
          <w:szCs w:val="32"/>
          <w:lang w:eastAsia="zh-CN"/>
        </w:rPr>
        <w:t>政策法规处</w:t>
      </w:r>
      <w:r>
        <w:rPr>
          <w:rFonts w:hint="eastAsia" w:ascii="仿宋" w:hAnsi="仿宋" w:eastAsia="仿宋" w:cs="仿宋"/>
          <w:i w:val="0"/>
          <w:caps w:val="0"/>
          <w:color w:val="333333"/>
          <w:spacing w:val="0"/>
          <w:sz w:val="32"/>
          <w:szCs w:val="32"/>
        </w:rPr>
        <w:t>协商确定</w:t>
      </w:r>
      <w:r>
        <w:rPr>
          <w:rFonts w:hint="eastAsia" w:ascii="仿宋" w:hAnsi="仿宋" w:eastAsia="仿宋" w:cs="仿宋"/>
          <w:i w:val="0"/>
          <w:caps w:val="0"/>
          <w:color w:val="333333"/>
          <w:spacing w:val="0"/>
          <w:sz w:val="32"/>
          <w:szCs w:val="32"/>
          <w:lang w:eastAsia="zh-CN"/>
        </w:rPr>
        <w:t>。</w:t>
      </w:r>
      <w:r>
        <w:rPr>
          <w:rFonts w:hint="eastAsia" w:ascii="仿宋" w:hAnsi="仿宋" w:eastAsia="仿宋" w:cs="仿宋"/>
          <w:i w:val="0"/>
          <w:caps w:val="0"/>
          <w:color w:val="333333"/>
          <w:spacing w:val="0"/>
          <w:sz w:val="32"/>
          <w:szCs w:val="32"/>
        </w:rPr>
        <w:t>经</w:t>
      </w:r>
      <w:r>
        <w:rPr>
          <w:rFonts w:hint="eastAsia" w:ascii="仿宋" w:hAnsi="仿宋" w:eastAsia="仿宋" w:cs="仿宋"/>
          <w:i w:val="0"/>
          <w:caps w:val="0"/>
          <w:color w:val="333333"/>
          <w:spacing w:val="0"/>
          <w:sz w:val="32"/>
          <w:szCs w:val="32"/>
          <w:lang w:eastAsia="zh-CN"/>
        </w:rPr>
        <w:t>协商</w:t>
      </w:r>
      <w:r>
        <w:rPr>
          <w:rFonts w:hint="eastAsia" w:ascii="仿宋" w:hAnsi="仿宋" w:eastAsia="仿宋" w:cs="仿宋"/>
          <w:i w:val="0"/>
          <w:caps w:val="0"/>
          <w:color w:val="333333"/>
          <w:spacing w:val="0"/>
          <w:sz w:val="32"/>
          <w:szCs w:val="32"/>
        </w:rPr>
        <w:t>达不成一致意见的，将双方意见一并报送</w:t>
      </w:r>
      <w:r>
        <w:rPr>
          <w:rFonts w:hint="eastAsia" w:ascii="仿宋" w:hAnsi="仿宋" w:eastAsia="仿宋" w:cs="仿宋"/>
          <w:i w:val="0"/>
          <w:caps w:val="0"/>
          <w:color w:val="333333"/>
          <w:spacing w:val="0"/>
          <w:sz w:val="32"/>
          <w:szCs w:val="32"/>
          <w:lang w:eastAsia="zh-CN"/>
        </w:rPr>
        <w:t>分管副局长决定</w:t>
      </w:r>
      <w:r>
        <w:rPr>
          <w:rFonts w:hint="eastAsia" w:ascii="仿宋" w:hAnsi="仿宋" w:eastAsia="仿宋" w:cs="仿宋"/>
          <w:i w:val="0"/>
          <w:caps w:val="0"/>
          <w:color w:val="333333"/>
          <w:spacing w:val="0"/>
          <w:sz w:val="32"/>
          <w:szCs w:val="32"/>
        </w:rPr>
        <w:t>。</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承办机构</w:t>
      </w:r>
      <w:r>
        <w:rPr>
          <w:rFonts w:hint="eastAsia" w:ascii="仿宋" w:hAnsi="仿宋" w:eastAsia="仿宋" w:cs="仿宋"/>
          <w:i w:val="0"/>
          <w:caps w:val="0"/>
          <w:color w:val="333333"/>
          <w:spacing w:val="0"/>
          <w:sz w:val="32"/>
          <w:szCs w:val="32"/>
        </w:rPr>
        <w:t>应当在行政执法</w:t>
      </w:r>
      <w:r>
        <w:rPr>
          <w:rFonts w:hint="eastAsia" w:ascii="仿宋" w:hAnsi="仿宋" w:eastAsia="仿宋" w:cs="仿宋"/>
          <w:i w:val="0"/>
          <w:caps w:val="0"/>
          <w:color w:val="333333"/>
          <w:spacing w:val="0"/>
          <w:sz w:val="32"/>
          <w:szCs w:val="32"/>
          <w:lang w:eastAsia="zh-CN"/>
        </w:rPr>
        <w:t>调</w:t>
      </w:r>
      <w:r>
        <w:rPr>
          <w:rFonts w:hint="eastAsia" w:ascii="仿宋" w:hAnsi="仿宋" w:eastAsia="仿宋" w:cs="仿宋"/>
          <w:i w:val="0"/>
          <w:caps w:val="0"/>
          <w:color w:val="333333"/>
          <w:spacing w:val="0"/>
          <w:sz w:val="32"/>
          <w:szCs w:val="32"/>
        </w:rPr>
        <w:t>查终结后，及时将案卷送</w:t>
      </w:r>
      <w:r>
        <w:rPr>
          <w:rFonts w:hint="eastAsia" w:ascii="仿宋" w:hAnsi="仿宋" w:eastAsia="仿宋" w:cs="仿宋"/>
          <w:i w:val="0"/>
          <w:caps w:val="0"/>
          <w:color w:val="333333"/>
          <w:spacing w:val="0"/>
          <w:sz w:val="32"/>
          <w:szCs w:val="32"/>
          <w:lang w:eastAsia="zh-CN"/>
        </w:rPr>
        <w:t>政策法规处</w:t>
      </w:r>
      <w:r>
        <w:rPr>
          <w:rFonts w:hint="eastAsia" w:ascii="仿宋" w:hAnsi="仿宋" w:eastAsia="仿宋" w:cs="仿宋"/>
          <w:i w:val="0"/>
          <w:caps w:val="0"/>
          <w:color w:val="333333"/>
          <w:spacing w:val="0"/>
          <w:sz w:val="32"/>
          <w:szCs w:val="32"/>
        </w:rPr>
        <w:t>进行审核。审核通过后，提交</w:t>
      </w:r>
      <w:r>
        <w:rPr>
          <w:rFonts w:hint="eastAsia" w:ascii="仿宋" w:hAnsi="仿宋" w:eastAsia="仿宋" w:cs="仿宋"/>
          <w:i w:val="0"/>
          <w:caps w:val="0"/>
          <w:color w:val="333333"/>
          <w:spacing w:val="0"/>
          <w:sz w:val="32"/>
          <w:szCs w:val="32"/>
          <w:lang w:eastAsia="zh-CN"/>
        </w:rPr>
        <w:t>局</w:t>
      </w:r>
      <w:r>
        <w:rPr>
          <w:rFonts w:hint="eastAsia" w:ascii="仿宋" w:hAnsi="仿宋" w:eastAsia="仿宋" w:cs="仿宋"/>
          <w:i w:val="0"/>
          <w:caps w:val="0"/>
          <w:color w:val="333333"/>
          <w:spacing w:val="0"/>
          <w:sz w:val="32"/>
          <w:szCs w:val="32"/>
        </w:rPr>
        <w:t>负责人决定</w:t>
      </w:r>
      <w:r>
        <w:rPr>
          <w:rFonts w:hint="eastAsia" w:ascii="仿宋" w:hAnsi="仿宋" w:eastAsia="仿宋" w:cs="仿宋"/>
          <w:i w:val="0"/>
          <w:caps w:val="0"/>
          <w:color w:val="333333"/>
          <w:spacing w:val="0"/>
          <w:sz w:val="32"/>
          <w:szCs w:val="32"/>
          <w:lang w:eastAsia="zh-CN"/>
        </w:rPr>
        <w:t>或者局务会议</w:t>
      </w:r>
      <w:r>
        <w:rPr>
          <w:rFonts w:hint="eastAsia" w:ascii="仿宋" w:hAnsi="仿宋" w:eastAsia="仿宋" w:cs="仿宋"/>
          <w:i w:val="0"/>
          <w:caps w:val="0"/>
          <w:color w:val="333333"/>
          <w:spacing w:val="0"/>
          <w:sz w:val="32"/>
          <w:szCs w:val="32"/>
        </w:rPr>
        <w:t>集体讨论决定。</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承办机构在送审</w:t>
      </w:r>
      <w:r>
        <w:rPr>
          <w:rFonts w:hint="eastAsia" w:ascii="仿宋" w:hAnsi="仿宋" w:eastAsia="仿宋" w:cs="仿宋"/>
          <w:i w:val="0"/>
          <w:caps w:val="0"/>
          <w:color w:val="333333"/>
          <w:spacing w:val="0"/>
          <w:sz w:val="32"/>
          <w:szCs w:val="32"/>
          <w:lang w:eastAsia="zh-CN"/>
        </w:rPr>
        <w:t>的案卷</w:t>
      </w:r>
      <w:r>
        <w:rPr>
          <w:rFonts w:hint="eastAsia" w:ascii="仿宋" w:hAnsi="仿宋" w:eastAsia="仿宋" w:cs="仿宋"/>
          <w:i w:val="0"/>
          <w:caps w:val="0"/>
          <w:color w:val="333333"/>
          <w:spacing w:val="0"/>
          <w:sz w:val="32"/>
          <w:szCs w:val="32"/>
        </w:rPr>
        <w:t>应当</w:t>
      </w:r>
      <w:r>
        <w:rPr>
          <w:rFonts w:hint="eastAsia" w:ascii="仿宋" w:hAnsi="仿宋" w:eastAsia="仿宋" w:cs="仿宋"/>
          <w:i w:val="0"/>
          <w:caps w:val="0"/>
          <w:color w:val="333333"/>
          <w:spacing w:val="0"/>
          <w:sz w:val="32"/>
          <w:szCs w:val="32"/>
          <w:lang w:eastAsia="zh-CN"/>
        </w:rPr>
        <w:t>包括</w:t>
      </w:r>
      <w:r>
        <w:rPr>
          <w:rFonts w:hint="eastAsia" w:ascii="仿宋" w:hAnsi="仿宋" w:eastAsia="仿宋" w:cs="仿宋"/>
          <w:i w:val="0"/>
          <w:caps w:val="0"/>
          <w:color w:val="333333"/>
          <w:spacing w:val="0"/>
          <w:sz w:val="32"/>
          <w:szCs w:val="32"/>
        </w:rPr>
        <w:t>以下材料：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（一）重大行政执法决定的</w:t>
      </w:r>
      <w:r>
        <w:rPr>
          <w:rFonts w:hint="eastAsia" w:ascii="仿宋" w:hAnsi="仿宋" w:eastAsia="仿宋" w:cs="仿宋"/>
          <w:i w:val="0"/>
          <w:caps w:val="0"/>
          <w:color w:val="333333"/>
          <w:spacing w:val="0"/>
          <w:sz w:val="32"/>
          <w:szCs w:val="32"/>
          <w:lang w:eastAsia="zh-CN"/>
        </w:rPr>
        <w:t>调</w:t>
      </w:r>
      <w:r>
        <w:rPr>
          <w:rFonts w:hint="eastAsia" w:ascii="仿宋" w:hAnsi="仿宋" w:eastAsia="仿宋" w:cs="仿宋"/>
          <w:i w:val="0"/>
          <w:caps w:val="0"/>
          <w:color w:val="333333"/>
          <w:spacing w:val="0"/>
          <w:sz w:val="32"/>
          <w:szCs w:val="32"/>
        </w:rPr>
        <w:t>查终结报告；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w:t>
      </w:r>
      <w:r>
        <w:rPr>
          <w:rFonts w:hint="eastAsia" w:ascii="仿宋" w:hAnsi="仿宋" w:eastAsia="仿宋" w:cs="仿宋"/>
          <w:i w:val="0"/>
          <w:caps w:val="0"/>
          <w:color w:val="333333"/>
          <w:spacing w:val="0"/>
          <w:sz w:val="32"/>
          <w:szCs w:val="32"/>
          <w:lang w:eastAsia="zh-CN"/>
        </w:rPr>
        <w:t>二</w:t>
      </w:r>
      <w:r>
        <w:rPr>
          <w:rFonts w:hint="eastAsia" w:ascii="仿宋" w:hAnsi="仿宋" w:eastAsia="仿宋" w:cs="仿宋"/>
          <w:i w:val="0"/>
          <w:caps w:val="0"/>
          <w:color w:val="333333"/>
          <w:spacing w:val="0"/>
          <w:sz w:val="32"/>
          <w:szCs w:val="32"/>
        </w:rPr>
        <w:t>）重大行政执法决定建议或者意见及其情况说明；情况说明应当包括基本案情、适用的法律法规、执法人员资格、调查取证等情况；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w:t>
      </w:r>
      <w:r>
        <w:rPr>
          <w:rFonts w:hint="eastAsia" w:ascii="仿宋" w:hAnsi="仿宋" w:eastAsia="仿宋" w:cs="仿宋"/>
          <w:i w:val="0"/>
          <w:caps w:val="0"/>
          <w:color w:val="333333"/>
          <w:spacing w:val="0"/>
          <w:sz w:val="32"/>
          <w:szCs w:val="32"/>
          <w:lang w:eastAsia="zh-CN"/>
        </w:rPr>
        <w:t>三</w:t>
      </w:r>
      <w:r>
        <w:rPr>
          <w:rFonts w:hint="eastAsia" w:ascii="仿宋" w:hAnsi="仿宋" w:eastAsia="仿宋" w:cs="仿宋"/>
          <w:i w:val="0"/>
          <w:caps w:val="0"/>
          <w:color w:val="333333"/>
          <w:spacing w:val="0"/>
          <w:sz w:val="32"/>
          <w:szCs w:val="32"/>
        </w:rPr>
        <w:t>）相关证据资料；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w:t>
      </w:r>
      <w:r>
        <w:rPr>
          <w:rFonts w:hint="eastAsia" w:ascii="仿宋" w:hAnsi="仿宋" w:eastAsia="仿宋" w:cs="仿宋"/>
          <w:i w:val="0"/>
          <w:caps w:val="0"/>
          <w:color w:val="333333"/>
          <w:spacing w:val="0"/>
          <w:sz w:val="32"/>
          <w:szCs w:val="32"/>
          <w:lang w:eastAsia="zh-CN"/>
        </w:rPr>
        <w:t>四</w:t>
      </w:r>
      <w:r>
        <w:rPr>
          <w:rFonts w:hint="eastAsia" w:ascii="仿宋" w:hAnsi="仿宋" w:eastAsia="仿宋" w:cs="仿宋"/>
          <w:i w:val="0"/>
          <w:caps w:val="0"/>
          <w:color w:val="333333"/>
          <w:spacing w:val="0"/>
          <w:sz w:val="32"/>
          <w:szCs w:val="32"/>
        </w:rPr>
        <w:t>）经听证或评估的，还应当提交听证</w:t>
      </w:r>
      <w:r>
        <w:rPr>
          <w:rFonts w:hint="eastAsia" w:ascii="仿宋" w:hAnsi="仿宋" w:eastAsia="仿宋" w:cs="仿宋"/>
          <w:i w:val="0"/>
          <w:caps w:val="0"/>
          <w:color w:val="333333"/>
          <w:spacing w:val="0"/>
          <w:sz w:val="32"/>
          <w:szCs w:val="32"/>
          <w:lang w:eastAsia="zh-CN"/>
        </w:rPr>
        <w:t>报告</w:t>
      </w:r>
      <w:r>
        <w:rPr>
          <w:rFonts w:hint="eastAsia" w:ascii="仿宋" w:hAnsi="仿宋" w:eastAsia="仿宋" w:cs="仿宋"/>
          <w:i w:val="0"/>
          <w:caps w:val="0"/>
          <w:color w:val="333333"/>
          <w:spacing w:val="0"/>
          <w:sz w:val="32"/>
          <w:szCs w:val="32"/>
        </w:rPr>
        <w:t>或者评估报告；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w:t>
      </w:r>
      <w:r>
        <w:rPr>
          <w:rFonts w:hint="eastAsia" w:ascii="仿宋" w:hAnsi="仿宋" w:eastAsia="仿宋" w:cs="仿宋"/>
          <w:i w:val="0"/>
          <w:caps w:val="0"/>
          <w:color w:val="333333"/>
          <w:spacing w:val="0"/>
          <w:sz w:val="32"/>
          <w:szCs w:val="32"/>
          <w:lang w:eastAsia="zh-CN"/>
        </w:rPr>
        <w:t>五</w:t>
      </w:r>
      <w:r>
        <w:rPr>
          <w:rFonts w:hint="eastAsia" w:ascii="仿宋" w:hAnsi="仿宋" w:eastAsia="仿宋" w:cs="仿宋"/>
          <w:i w:val="0"/>
          <w:caps w:val="0"/>
          <w:color w:val="333333"/>
          <w:spacing w:val="0"/>
          <w:sz w:val="32"/>
          <w:szCs w:val="32"/>
        </w:rPr>
        <w:t>）其他需要提交的材料。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lang w:eastAsia="zh-CN"/>
        </w:rPr>
        <w:t>政策法规处</w:t>
      </w:r>
      <w:r>
        <w:rPr>
          <w:rFonts w:hint="eastAsia" w:ascii="仿宋" w:hAnsi="仿宋" w:eastAsia="仿宋" w:cs="仿宋"/>
          <w:i w:val="0"/>
          <w:caps w:val="0"/>
          <w:color w:val="333333"/>
          <w:spacing w:val="0"/>
          <w:sz w:val="32"/>
          <w:szCs w:val="32"/>
        </w:rPr>
        <w:t>认为提交材料不齐全的，可以要求承办机构在指定时间</w:t>
      </w:r>
      <w:r>
        <w:rPr>
          <w:rFonts w:hint="eastAsia" w:ascii="仿宋" w:hAnsi="仿宋" w:eastAsia="仿宋" w:cs="仿宋"/>
          <w:i w:val="0"/>
          <w:caps w:val="0"/>
          <w:color w:val="333333"/>
          <w:spacing w:val="0"/>
          <w:sz w:val="32"/>
          <w:szCs w:val="32"/>
          <w:lang w:eastAsia="zh-CN"/>
        </w:rPr>
        <w:t>内补充齐全后</w:t>
      </w:r>
      <w:r>
        <w:rPr>
          <w:rFonts w:hint="eastAsia" w:ascii="仿宋" w:hAnsi="仿宋" w:eastAsia="仿宋" w:cs="仿宋"/>
          <w:i w:val="0"/>
          <w:caps w:val="0"/>
          <w:color w:val="333333"/>
          <w:spacing w:val="0"/>
          <w:sz w:val="32"/>
          <w:szCs w:val="32"/>
        </w:rPr>
        <w:t>提交。</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b w:val="0"/>
          <w:bCs/>
          <w:sz w:val="32"/>
          <w:szCs w:val="32"/>
        </w:rPr>
      </w:pPr>
      <w:r>
        <w:rPr>
          <w:rStyle w:val="9"/>
          <w:rFonts w:hint="eastAsia" w:ascii="仿宋" w:hAnsi="仿宋" w:eastAsia="仿宋" w:cs="仿宋"/>
          <w:b w:val="0"/>
          <w:bCs/>
          <w:i w:val="0"/>
          <w:caps w:val="0"/>
          <w:color w:val="333333"/>
          <w:spacing w:val="0"/>
          <w:sz w:val="32"/>
          <w:szCs w:val="32"/>
          <w:lang w:val="en-US" w:eastAsia="zh-CN"/>
        </w:rPr>
        <w:t>政策法规处</w:t>
      </w:r>
      <w:r>
        <w:rPr>
          <w:rFonts w:hint="eastAsia" w:ascii="仿宋" w:hAnsi="仿宋" w:eastAsia="仿宋" w:cs="仿宋"/>
          <w:b w:val="0"/>
          <w:bCs/>
          <w:i w:val="0"/>
          <w:caps w:val="0"/>
          <w:color w:val="333333"/>
          <w:spacing w:val="0"/>
          <w:sz w:val="32"/>
          <w:szCs w:val="32"/>
        </w:rPr>
        <w:t>收到案卷后，应当向承办机构出具《重大行政执法决定案卷移交清单》（见附件），并予以登记。</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eastAsia" w:ascii="仿宋" w:hAnsi="仿宋" w:eastAsia="仿宋" w:cs="仿宋"/>
          <w:b w:val="0"/>
          <w:bCs/>
          <w:i w:val="0"/>
          <w:caps w:val="0"/>
          <w:color w:val="333333"/>
          <w:spacing w:val="0"/>
          <w:kern w:val="2"/>
          <w:sz w:val="32"/>
          <w:szCs w:val="32"/>
          <w:lang w:val="en-US" w:eastAsia="zh-CN" w:bidi="ar-SA"/>
        </w:rPr>
        <w:t>法制审核以书面审查为主，必要时可以调查核实有关情况，法制审核内容主要包括：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（一）行政执法机关主体是否合法，行政执法人员是否具备执法资格；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（二）行政执法程序是否合法；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（三）案件事实是否清楚，证据是否合法充分；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（四）适用法律、法规、规章是否准确，裁量基准运用是否适当；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（五）执法是否超越执法机关法定权限；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（六）行政执法文书是否完备、规范；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（七）违法行为是否涉嫌犯罪、需要移送司法机关；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Style w:val="9"/>
          <w:rFonts w:hint="eastAsia" w:ascii="仿宋" w:hAnsi="仿宋" w:eastAsia="仿宋" w:cs="仿宋"/>
          <w:b w:val="0"/>
          <w:bCs/>
          <w:i w:val="0"/>
          <w:caps w:val="0"/>
          <w:color w:val="333333"/>
          <w:spacing w:val="0"/>
          <w:kern w:val="2"/>
          <w:sz w:val="32"/>
          <w:szCs w:val="32"/>
          <w:lang w:val="en-US" w:eastAsia="zh-CN" w:bidi="ar-SA"/>
        </w:rPr>
      </w:pPr>
      <w:r>
        <w:rPr>
          <w:rStyle w:val="9"/>
          <w:rFonts w:hint="default" w:ascii="仿宋" w:hAnsi="仿宋" w:eastAsia="仿宋" w:cs="仿宋"/>
          <w:b w:val="0"/>
          <w:bCs/>
          <w:i w:val="0"/>
          <w:caps w:val="0"/>
          <w:color w:val="333333"/>
          <w:spacing w:val="0"/>
          <w:kern w:val="2"/>
          <w:sz w:val="32"/>
          <w:szCs w:val="32"/>
          <w:lang w:val="en-US" w:eastAsia="zh-CN" w:bidi="ar-SA"/>
        </w:rPr>
        <w:t>（八）法律、法规、规章规定的其他内容。</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在审核过程中，</w:t>
      </w:r>
      <w:r>
        <w:rPr>
          <w:rFonts w:hint="eastAsia" w:ascii="仿宋" w:hAnsi="仿宋" w:eastAsia="仿宋" w:cs="仿宋"/>
          <w:i w:val="0"/>
          <w:caps w:val="0"/>
          <w:color w:val="333333"/>
          <w:spacing w:val="0"/>
          <w:sz w:val="32"/>
          <w:szCs w:val="32"/>
          <w:lang w:eastAsia="zh-CN"/>
        </w:rPr>
        <w:t>政策法规处可以</w:t>
      </w:r>
      <w:r>
        <w:rPr>
          <w:rFonts w:hint="eastAsia" w:ascii="仿宋" w:hAnsi="仿宋" w:eastAsia="仿宋" w:cs="仿宋"/>
          <w:i w:val="0"/>
          <w:caps w:val="0"/>
          <w:color w:val="333333"/>
          <w:spacing w:val="0"/>
          <w:sz w:val="32"/>
          <w:szCs w:val="32"/>
        </w:rPr>
        <w:t>调阅行政执法活动相关材料，向行政执法人员了解情况，听取意见建议；必要时也可以向当事人进行调查，相关单位和个人应当予以协助配合。</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sz w:val="32"/>
          <w:szCs w:val="32"/>
        </w:rPr>
      </w:pPr>
      <w:r>
        <w:rPr>
          <w:rStyle w:val="9"/>
          <w:rFonts w:hint="eastAsia" w:ascii="仿宋" w:hAnsi="仿宋" w:eastAsia="仿宋" w:cs="仿宋"/>
          <w:b w:val="0"/>
          <w:bCs/>
          <w:i w:val="0"/>
          <w:caps w:val="0"/>
          <w:color w:val="333333"/>
          <w:spacing w:val="0"/>
          <w:sz w:val="32"/>
          <w:szCs w:val="32"/>
          <w:lang w:eastAsia="zh-CN"/>
        </w:rPr>
        <w:t>政策法规处</w:t>
      </w:r>
      <w:r>
        <w:rPr>
          <w:rFonts w:hint="eastAsia" w:ascii="仿宋" w:hAnsi="仿宋" w:eastAsia="仿宋" w:cs="仿宋"/>
          <w:b w:val="0"/>
          <w:bCs/>
          <w:i w:val="0"/>
          <w:caps w:val="0"/>
          <w:color w:val="333333"/>
          <w:spacing w:val="0"/>
          <w:sz w:val="32"/>
          <w:szCs w:val="32"/>
        </w:rPr>
        <w:t>对拟</w:t>
      </w:r>
      <w:r>
        <w:rPr>
          <w:rFonts w:hint="eastAsia" w:ascii="仿宋" w:hAnsi="仿宋" w:eastAsia="仿宋" w:cs="仿宋"/>
          <w:i w:val="0"/>
          <w:caps w:val="0"/>
          <w:color w:val="333333"/>
          <w:spacing w:val="0"/>
          <w:sz w:val="32"/>
          <w:szCs w:val="32"/>
        </w:rPr>
        <w:t>作出的重大行政执法决定进行审核后，出具《重大行政执法决定法制审核意见书》，根据不同情况，提出相应的书面意见或建议，同时将案卷退还并予以登记：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（一）对主要事实清楚、证据确实充分、定性准确、裁量适当、程序合法的，出具同意的意见；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（二）对事实不清、证据不足的，提出继续调查或不予作出行政执法决定的建议；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（三）对定性不准、适用规范不准确或裁量基准不当的，提出变更意见；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（四）对程序违法的，提出纠正意见；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（五）对超出本机关管辖范围或涉嫌犯罪的，提出移送意见；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608" w:firstLineChars="190"/>
        <w:textAlignment w:val="auto"/>
        <w:rPr>
          <w:rFonts w:hint="eastAsia" w:ascii="黑体" w:hAnsi="黑体" w:eastAsia="黑体" w:cs="黑体"/>
          <w:b w:val="0"/>
          <w:bCs w:val="0"/>
          <w:sz w:val="32"/>
          <w:szCs w:val="32"/>
          <w:lang w:val="en-US" w:eastAsia="zh-CN"/>
        </w:rPr>
      </w:pPr>
      <w:r>
        <w:rPr>
          <w:rFonts w:hint="eastAsia" w:ascii="仿宋" w:hAnsi="仿宋" w:eastAsia="仿宋" w:cs="仿宋"/>
          <w:i w:val="0"/>
          <w:caps w:val="0"/>
          <w:color w:val="333333"/>
          <w:spacing w:val="0"/>
          <w:sz w:val="32"/>
          <w:szCs w:val="32"/>
        </w:rPr>
        <w:t>（六）其他意见建议。</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Style w:val="9"/>
          <w:rFonts w:hint="eastAsia" w:ascii="仿宋" w:hAnsi="仿宋" w:eastAsia="仿宋" w:cs="仿宋"/>
          <w:b w:val="0"/>
          <w:bCs/>
          <w:i w:val="0"/>
          <w:caps w:val="0"/>
          <w:color w:val="333333"/>
          <w:spacing w:val="0"/>
          <w:sz w:val="32"/>
          <w:szCs w:val="32"/>
          <w:lang w:val="en-US" w:eastAsia="zh-CN"/>
        </w:rPr>
        <w:t>政策法规处</w:t>
      </w:r>
      <w:r>
        <w:rPr>
          <w:rFonts w:hint="eastAsia" w:ascii="仿宋" w:hAnsi="仿宋" w:eastAsia="仿宋" w:cs="仿宋"/>
          <w:i w:val="0"/>
          <w:caps w:val="0"/>
          <w:color w:val="333333"/>
          <w:spacing w:val="0"/>
          <w:sz w:val="32"/>
          <w:szCs w:val="32"/>
          <w:lang w:eastAsia="zh-CN"/>
        </w:rPr>
        <w:t>一般</w:t>
      </w:r>
      <w:r>
        <w:rPr>
          <w:rFonts w:hint="eastAsia" w:ascii="仿宋" w:hAnsi="仿宋" w:eastAsia="仿宋" w:cs="仿宋"/>
          <w:i w:val="0"/>
          <w:caps w:val="0"/>
          <w:color w:val="333333"/>
          <w:spacing w:val="0"/>
          <w:sz w:val="32"/>
          <w:szCs w:val="32"/>
        </w:rPr>
        <w:t>应当自收到案卷之日起</w:t>
      </w:r>
      <w:r>
        <w:rPr>
          <w:rFonts w:hint="eastAsia" w:ascii="仿宋" w:hAnsi="仿宋" w:eastAsia="仿宋" w:cs="仿宋"/>
          <w:i w:val="0"/>
          <w:caps w:val="0"/>
          <w:color w:val="333333"/>
          <w:spacing w:val="0"/>
          <w:sz w:val="32"/>
          <w:szCs w:val="32"/>
          <w:lang w:val="en-US" w:eastAsia="zh-CN"/>
        </w:rPr>
        <w:t>7</w:t>
      </w:r>
      <w:r>
        <w:rPr>
          <w:rFonts w:hint="eastAsia" w:ascii="仿宋" w:hAnsi="仿宋" w:eastAsia="仿宋" w:cs="仿宋"/>
          <w:i w:val="0"/>
          <w:caps w:val="0"/>
          <w:color w:val="333333"/>
          <w:spacing w:val="0"/>
          <w:sz w:val="32"/>
          <w:szCs w:val="32"/>
        </w:rPr>
        <w:t>个工作日内出具审核意见；因案件复杂的，经</w:t>
      </w:r>
      <w:r>
        <w:rPr>
          <w:rFonts w:hint="eastAsia" w:ascii="仿宋" w:hAnsi="仿宋" w:eastAsia="仿宋" w:cs="仿宋"/>
          <w:i w:val="0"/>
          <w:caps w:val="0"/>
          <w:color w:val="333333"/>
          <w:spacing w:val="0"/>
          <w:sz w:val="32"/>
          <w:szCs w:val="32"/>
          <w:lang w:eastAsia="zh-CN"/>
        </w:rPr>
        <w:t>分管副局长批准</w:t>
      </w:r>
      <w:r>
        <w:rPr>
          <w:rFonts w:hint="eastAsia" w:ascii="仿宋" w:hAnsi="仿宋" w:eastAsia="仿宋" w:cs="仿宋"/>
          <w:i w:val="0"/>
          <w:caps w:val="0"/>
          <w:color w:val="333333"/>
          <w:spacing w:val="0"/>
          <w:sz w:val="32"/>
          <w:szCs w:val="32"/>
        </w:rPr>
        <w:t>可以</w:t>
      </w:r>
      <w:r>
        <w:rPr>
          <w:rFonts w:hint="eastAsia" w:ascii="仿宋" w:hAnsi="仿宋" w:eastAsia="仿宋" w:cs="仿宋"/>
          <w:i w:val="0"/>
          <w:caps w:val="0"/>
          <w:color w:val="333333"/>
          <w:spacing w:val="0"/>
          <w:sz w:val="32"/>
          <w:szCs w:val="32"/>
          <w:lang w:eastAsia="zh-CN"/>
        </w:rPr>
        <w:t>适当</w:t>
      </w:r>
      <w:r>
        <w:rPr>
          <w:rFonts w:hint="eastAsia" w:ascii="仿宋" w:hAnsi="仿宋" w:eastAsia="仿宋" w:cs="仿宋"/>
          <w:i w:val="0"/>
          <w:caps w:val="0"/>
          <w:color w:val="333333"/>
          <w:spacing w:val="0"/>
          <w:sz w:val="32"/>
          <w:szCs w:val="32"/>
        </w:rPr>
        <w:t>延长。</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default" w:ascii="黑体" w:hAnsi="黑体" w:eastAsia="黑体" w:cs="黑体"/>
          <w:b w:val="0"/>
          <w:bCs w:val="0"/>
          <w:sz w:val="32"/>
          <w:szCs w:val="32"/>
          <w:lang w:val="en-US" w:eastAsia="zh-CN"/>
        </w:rPr>
      </w:pPr>
      <w:r>
        <w:rPr>
          <w:rFonts w:hint="eastAsia" w:ascii="仿宋" w:hAnsi="仿宋" w:eastAsia="仿宋" w:cs="仿宋"/>
          <w:i w:val="0"/>
          <w:caps w:val="0"/>
          <w:color w:val="333333"/>
          <w:spacing w:val="0"/>
          <w:sz w:val="32"/>
          <w:szCs w:val="32"/>
          <w:lang w:val="en-US" w:eastAsia="zh-CN"/>
        </w:rPr>
        <w:t xml:space="preserve"> 承</w:t>
      </w:r>
      <w:r>
        <w:rPr>
          <w:rFonts w:hint="eastAsia" w:ascii="仿宋" w:hAnsi="仿宋" w:eastAsia="仿宋" w:cs="仿宋"/>
          <w:i w:val="0"/>
          <w:caps w:val="0"/>
          <w:color w:val="333333"/>
          <w:spacing w:val="0"/>
          <w:sz w:val="32"/>
          <w:szCs w:val="32"/>
        </w:rPr>
        <w:t>办机构对法制审核意见和建议应当研究采纳</w:t>
      </w:r>
      <w:r>
        <w:rPr>
          <w:rFonts w:hint="eastAsia" w:ascii="仿宋" w:hAnsi="仿宋" w:eastAsia="仿宋" w:cs="仿宋"/>
          <w:i w:val="0"/>
          <w:caps w:val="0"/>
          <w:color w:val="333333"/>
          <w:spacing w:val="0"/>
          <w:sz w:val="32"/>
          <w:szCs w:val="32"/>
          <w:lang w:eastAsia="zh-CN"/>
        </w:rPr>
        <w:t>，</w:t>
      </w:r>
      <w:r>
        <w:rPr>
          <w:rFonts w:hint="eastAsia" w:ascii="仿宋" w:hAnsi="仿宋" w:eastAsia="仿宋" w:cs="仿宋"/>
          <w:i w:val="0"/>
          <w:caps w:val="0"/>
          <w:color w:val="333333"/>
          <w:spacing w:val="0"/>
          <w:sz w:val="32"/>
          <w:szCs w:val="32"/>
        </w:rPr>
        <w:t>作出相应处理后再次报送法制审核。</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default" w:ascii="黑体" w:hAnsi="黑体" w:eastAsia="黑体" w:cs="黑体"/>
          <w:b w:val="0"/>
          <w:bCs w:val="0"/>
          <w:sz w:val="32"/>
          <w:szCs w:val="32"/>
          <w:lang w:val="en-US" w:eastAsia="zh-CN"/>
        </w:rPr>
      </w:pPr>
      <w:r>
        <w:rPr>
          <w:rFonts w:hint="eastAsia" w:ascii="仿宋" w:hAnsi="仿宋" w:eastAsia="仿宋" w:cs="仿宋"/>
          <w:i w:val="0"/>
          <w:caps w:val="0"/>
          <w:color w:val="333333"/>
          <w:spacing w:val="0"/>
          <w:sz w:val="32"/>
          <w:szCs w:val="32"/>
          <w:lang w:val="en-US" w:eastAsia="zh-CN"/>
        </w:rPr>
        <w:t>承</w:t>
      </w:r>
      <w:r>
        <w:rPr>
          <w:rFonts w:hint="eastAsia" w:ascii="仿宋" w:hAnsi="仿宋" w:eastAsia="仿宋" w:cs="仿宋"/>
          <w:i w:val="0"/>
          <w:caps w:val="0"/>
          <w:color w:val="333333"/>
          <w:spacing w:val="0"/>
          <w:sz w:val="32"/>
          <w:szCs w:val="32"/>
        </w:rPr>
        <w:t>办机构对法制审核意见和建议有异议的</w:t>
      </w:r>
      <w:r>
        <w:rPr>
          <w:rFonts w:hint="eastAsia" w:ascii="仿宋" w:hAnsi="仿宋" w:eastAsia="仿宋" w:cs="仿宋"/>
          <w:i w:val="0"/>
          <w:caps w:val="0"/>
          <w:color w:val="333333"/>
          <w:spacing w:val="0"/>
          <w:sz w:val="32"/>
          <w:szCs w:val="32"/>
          <w:lang w:eastAsia="zh-CN"/>
        </w:rPr>
        <w:t>，</w:t>
      </w:r>
      <w:r>
        <w:rPr>
          <w:rFonts w:hint="eastAsia" w:ascii="仿宋" w:hAnsi="仿宋" w:eastAsia="仿宋" w:cs="仿宋"/>
          <w:i w:val="0"/>
          <w:caps w:val="0"/>
          <w:color w:val="333333"/>
          <w:spacing w:val="0"/>
          <w:sz w:val="32"/>
          <w:szCs w:val="32"/>
        </w:rPr>
        <w:t>应当与法制</w:t>
      </w:r>
      <w:r>
        <w:rPr>
          <w:rFonts w:hint="eastAsia" w:ascii="仿宋" w:hAnsi="仿宋" w:eastAsia="仿宋" w:cs="仿宋"/>
          <w:i w:val="0"/>
          <w:caps w:val="0"/>
          <w:color w:val="333333"/>
          <w:spacing w:val="0"/>
          <w:sz w:val="32"/>
          <w:szCs w:val="32"/>
          <w:lang w:eastAsia="zh-CN"/>
        </w:rPr>
        <w:t>审核</w:t>
      </w:r>
      <w:r>
        <w:rPr>
          <w:rFonts w:hint="eastAsia" w:ascii="仿宋" w:hAnsi="仿宋" w:eastAsia="仿宋" w:cs="仿宋"/>
          <w:i w:val="0"/>
          <w:caps w:val="0"/>
          <w:color w:val="333333"/>
          <w:spacing w:val="0"/>
          <w:sz w:val="32"/>
          <w:szCs w:val="32"/>
        </w:rPr>
        <w:t>机构协商沟通，经沟通达不成一致意见的，将双方意见一并报送</w:t>
      </w:r>
      <w:r>
        <w:rPr>
          <w:rFonts w:hint="eastAsia" w:ascii="仿宋" w:hAnsi="仿宋" w:eastAsia="仿宋" w:cs="仿宋"/>
          <w:i w:val="0"/>
          <w:caps w:val="0"/>
          <w:color w:val="333333"/>
          <w:spacing w:val="0"/>
          <w:sz w:val="32"/>
          <w:szCs w:val="32"/>
          <w:lang w:eastAsia="zh-CN"/>
        </w:rPr>
        <w:t>分管副局长决定</w:t>
      </w:r>
      <w:r>
        <w:rPr>
          <w:rFonts w:hint="eastAsia" w:ascii="仿宋" w:hAnsi="仿宋" w:eastAsia="仿宋" w:cs="仿宋"/>
          <w:i w:val="0"/>
          <w:caps w:val="0"/>
          <w:color w:val="333333"/>
          <w:spacing w:val="0"/>
          <w:sz w:val="32"/>
          <w:szCs w:val="32"/>
        </w:rPr>
        <w:t>。</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i w:val="0"/>
          <w:caps w:val="0"/>
          <w:color w:val="333333"/>
          <w:spacing w:val="0"/>
          <w:sz w:val="32"/>
          <w:szCs w:val="32"/>
        </w:rPr>
        <w:t>承办机构的承办人员、</w:t>
      </w:r>
      <w:r>
        <w:rPr>
          <w:rFonts w:hint="eastAsia" w:ascii="仿宋" w:hAnsi="仿宋" w:eastAsia="仿宋" w:cs="仿宋"/>
          <w:i w:val="0"/>
          <w:caps w:val="0"/>
          <w:color w:val="333333"/>
          <w:spacing w:val="0"/>
          <w:sz w:val="32"/>
          <w:szCs w:val="32"/>
          <w:lang w:eastAsia="zh-CN"/>
        </w:rPr>
        <w:t>政策法规处</w:t>
      </w:r>
      <w:r>
        <w:rPr>
          <w:rFonts w:hint="eastAsia" w:ascii="仿宋" w:hAnsi="仿宋" w:eastAsia="仿宋" w:cs="仿宋"/>
          <w:i w:val="0"/>
          <w:caps w:val="0"/>
          <w:color w:val="333333"/>
          <w:spacing w:val="0"/>
          <w:sz w:val="32"/>
          <w:szCs w:val="32"/>
        </w:rPr>
        <w:t>的审核人员以及作出行政执法决定的负责人因不履行或者不正确履行职责，导致行政执法决定错误，情节严重的，按照《</w:t>
      </w:r>
      <w:r>
        <w:rPr>
          <w:rFonts w:hint="eastAsia" w:ascii="仿宋" w:hAnsi="仿宋" w:eastAsia="仿宋" w:cs="仿宋"/>
          <w:i w:val="0"/>
          <w:caps w:val="0"/>
          <w:color w:val="333333"/>
          <w:spacing w:val="0"/>
          <w:sz w:val="32"/>
          <w:szCs w:val="32"/>
          <w:lang w:eastAsia="zh-CN"/>
        </w:rPr>
        <w:t>宁夏回族自治区</w:t>
      </w:r>
      <w:r>
        <w:rPr>
          <w:rFonts w:hint="eastAsia" w:ascii="仿宋" w:hAnsi="仿宋" w:eastAsia="仿宋" w:cs="仿宋"/>
          <w:i w:val="0"/>
          <w:caps w:val="0"/>
          <w:color w:val="333333"/>
          <w:spacing w:val="0"/>
          <w:sz w:val="32"/>
          <w:szCs w:val="32"/>
        </w:rPr>
        <w:t>行政执法过错责任追究办法》</w:t>
      </w:r>
      <w:r>
        <w:rPr>
          <w:rFonts w:hint="eastAsia" w:ascii="仿宋" w:hAnsi="仿宋" w:eastAsia="仿宋" w:cs="仿宋"/>
          <w:i w:val="0"/>
          <w:caps w:val="0"/>
          <w:color w:val="333333"/>
          <w:spacing w:val="0"/>
          <w:sz w:val="32"/>
          <w:szCs w:val="32"/>
          <w:lang w:eastAsia="zh-CN"/>
        </w:rPr>
        <w:t>的相关规定</w:t>
      </w:r>
      <w:r>
        <w:rPr>
          <w:rFonts w:hint="eastAsia" w:ascii="仿宋" w:hAnsi="仿宋" w:eastAsia="仿宋" w:cs="仿宋"/>
          <w:i w:val="0"/>
          <w:caps w:val="0"/>
          <w:color w:val="333333"/>
          <w:spacing w:val="0"/>
          <w:sz w:val="32"/>
          <w:szCs w:val="32"/>
        </w:rPr>
        <w:t>追究责任。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default" w:ascii="黑体" w:hAnsi="黑体" w:eastAsia="黑体" w:cs="黑体"/>
          <w:b w:val="0"/>
          <w:bCs w:val="0"/>
          <w:sz w:val="32"/>
          <w:szCs w:val="32"/>
          <w:lang w:val="en-US" w:eastAsia="zh-CN"/>
        </w:rPr>
      </w:pPr>
      <w:r>
        <w:rPr>
          <w:rFonts w:hint="eastAsia" w:ascii="仿宋" w:hAnsi="仿宋" w:eastAsia="仿宋" w:cs="仿宋"/>
          <w:i w:val="0"/>
          <w:caps w:val="0"/>
          <w:color w:val="333333"/>
          <w:spacing w:val="0"/>
          <w:sz w:val="32"/>
          <w:szCs w:val="32"/>
        </w:rPr>
        <w:t>未经法制审核作出重大行政执法决定，经行政复议、行政诉讼被撤销、变更或者确认违法的，按照规定追究有关人员责任。</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default" w:ascii="黑体" w:hAnsi="黑体" w:eastAsia="黑体" w:cs="黑体"/>
          <w:b w:val="0"/>
          <w:bCs w:val="0"/>
          <w:sz w:val="32"/>
          <w:szCs w:val="32"/>
          <w:lang w:val="en-US" w:eastAsia="zh-CN"/>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333333"/>
          <w:spacing w:val="0"/>
          <w:sz w:val="32"/>
          <w:szCs w:val="32"/>
          <w:lang w:eastAsia="zh-CN"/>
        </w:rPr>
        <w:t>本细则自发布之日起施行。</w:t>
      </w:r>
    </w:p>
    <w:p>
      <w:pPr>
        <w:keepNext w:val="0"/>
        <w:keepLines w:val="0"/>
        <w:pageBreakBefore w:val="0"/>
        <w:kinsoku/>
        <w:wordWrap/>
        <w:overflowPunct/>
        <w:topLinePunct w:val="0"/>
        <w:autoSpaceDE/>
        <w:autoSpaceDN/>
        <w:bidi w:val="0"/>
        <w:adjustRightInd/>
        <w:spacing w:line="360" w:lineRule="auto"/>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auto"/>
        <w:rPr>
          <w:rStyle w:val="9"/>
          <w:rFonts w:hint="eastAsia" w:ascii="仿宋_GB2312" w:hAnsi="仿宋_GB2312" w:eastAsia="仿宋_GB2312" w:cs="仿宋_GB2312"/>
          <w:b w:val="0"/>
          <w:bCs/>
          <w:i w:val="0"/>
          <w:caps w:val="0"/>
          <w:color w:val="333333"/>
          <w:spacing w:val="0"/>
          <w:sz w:val="32"/>
          <w:szCs w:val="32"/>
          <w:lang w:eastAsia="zh-CN"/>
        </w:rPr>
      </w:pPr>
      <w:r>
        <w:rPr>
          <w:rStyle w:val="9"/>
          <w:rFonts w:hint="eastAsia" w:ascii="仿宋_GB2312" w:hAnsi="仿宋_GB2312" w:eastAsia="仿宋_GB2312" w:cs="仿宋_GB2312"/>
          <w:b w:val="0"/>
          <w:bCs/>
          <w:i w:val="0"/>
          <w:caps w:val="0"/>
          <w:color w:val="333333"/>
          <w:spacing w:val="0"/>
          <w:sz w:val="32"/>
          <w:szCs w:val="32"/>
          <w:lang w:eastAsia="zh-CN"/>
        </w:rPr>
        <w:t>附件</w:t>
      </w:r>
      <w:r>
        <w:rPr>
          <w:rStyle w:val="9"/>
          <w:rFonts w:hint="eastAsia" w:ascii="仿宋_GB2312" w:hAnsi="仿宋_GB2312" w:eastAsia="仿宋_GB2312" w:cs="仿宋_GB2312"/>
          <w:b w:val="0"/>
          <w:bCs/>
          <w:i w:val="0"/>
          <w:caps w:val="0"/>
          <w:color w:val="333333"/>
          <w:spacing w:val="0"/>
          <w:sz w:val="32"/>
          <w:szCs w:val="32"/>
          <w:lang w:val="en-US" w:eastAsia="zh-CN"/>
        </w:rPr>
        <w:t>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rPr>
      </w:pPr>
      <w:r>
        <w:rPr>
          <w:rStyle w:val="9"/>
          <w:rFonts w:hint="eastAsia" w:ascii="方正小标宋简体" w:hAnsi="方正小标宋简体" w:eastAsia="方正小标宋简体" w:cs="方正小标宋简体"/>
          <w:b w:val="0"/>
          <w:bCs/>
          <w:i w:val="0"/>
          <w:caps w:val="0"/>
          <w:color w:val="333333"/>
          <w:spacing w:val="0"/>
          <w:sz w:val="44"/>
          <w:szCs w:val="44"/>
        </w:rPr>
        <w:t>重大行政执法决定案卷移交清单</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922"/>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lang w:eastAsia="zh-CN"/>
              </w:rPr>
              <w:t>案卷编号</w:t>
            </w: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案卷名称</w:t>
            </w: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移交情况</w:t>
            </w:r>
          </w:p>
        </w:tc>
        <w:tc>
          <w:tcPr>
            <w:tcW w:w="3922"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审核前</w:t>
            </w:r>
            <w:r>
              <w:rPr>
                <w:rFonts w:hint="eastAsia" w:ascii="仿宋" w:hAnsi="仿宋" w:eastAsia="仿宋" w:cs="仿宋"/>
                <w:sz w:val="24"/>
                <w:szCs w:val="24"/>
                <w:lang w:eastAsia="zh-CN"/>
              </w:rPr>
              <w:t>（签名）</w:t>
            </w:r>
          </w:p>
        </w:tc>
        <w:tc>
          <w:tcPr>
            <w:tcW w:w="3923"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审核后</w:t>
            </w:r>
            <w:r>
              <w:rPr>
                <w:rFonts w:hint="eastAsia" w:ascii="仿宋" w:hAnsi="仿宋" w:eastAsia="仿宋" w:cs="仿宋"/>
                <w:sz w:val="24"/>
                <w:szCs w:val="24"/>
                <w:lang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移交人</w:t>
            </w:r>
          </w:p>
        </w:tc>
        <w:tc>
          <w:tcPr>
            <w:tcW w:w="3922"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3923"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接收人</w:t>
            </w:r>
          </w:p>
        </w:tc>
        <w:tc>
          <w:tcPr>
            <w:tcW w:w="3922"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3923"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移交时间</w:t>
            </w: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移交地点</w:t>
            </w: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restart"/>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r>
              <w:rPr>
                <w:rFonts w:hint="eastAsia" w:ascii="仿宋" w:hAnsi="仿宋" w:eastAsia="仿宋" w:cs="仿宋"/>
                <w:sz w:val="24"/>
                <w:szCs w:val="24"/>
              </w:rPr>
              <w:t>案卷材料</w:t>
            </w: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16" w:type="dxa"/>
            <w:vMerge w:val="continue"/>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c>
          <w:tcPr>
            <w:tcW w:w="7845" w:type="dxa"/>
            <w:gridSpan w:val="2"/>
            <w:noWrap w:val="0"/>
            <w:vAlign w:val="top"/>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auto"/>
        <w:rPr>
          <w:rStyle w:val="9"/>
          <w:rFonts w:hint="eastAsia" w:ascii="仿宋_GB2312" w:hAnsi="仿宋_GB2312" w:eastAsia="仿宋_GB2312" w:cs="仿宋_GB2312"/>
          <w:b w:val="0"/>
          <w:bCs/>
          <w:i w:val="0"/>
          <w:caps w:val="0"/>
          <w:color w:val="333333"/>
          <w:spacing w:val="0"/>
          <w:sz w:val="32"/>
          <w:szCs w:val="32"/>
          <w:lang w:eastAsia="zh-CN"/>
        </w:rPr>
      </w:pPr>
      <w:r>
        <w:rPr>
          <w:rStyle w:val="9"/>
          <w:rFonts w:hint="eastAsia" w:ascii="方正小标宋简体" w:hAnsi="方正小标宋简体" w:eastAsia="方正小标宋简体" w:cs="方正小标宋简体"/>
          <w:b w:val="0"/>
          <w:bCs/>
          <w:i w:val="0"/>
          <w:caps w:val="0"/>
          <w:color w:val="333333"/>
          <w:spacing w:val="0"/>
          <w:sz w:val="44"/>
          <w:szCs w:val="44"/>
        </w:rPr>
        <w:br w:type="page"/>
      </w:r>
      <w:r>
        <w:rPr>
          <w:rStyle w:val="9"/>
          <w:rFonts w:hint="eastAsia" w:ascii="仿宋_GB2312" w:hAnsi="仿宋_GB2312" w:eastAsia="仿宋_GB2312" w:cs="仿宋_GB2312"/>
          <w:b w:val="0"/>
          <w:bCs/>
          <w:i w:val="0"/>
          <w:caps w:val="0"/>
          <w:color w:val="333333"/>
          <w:spacing w:val="0"/>
          <w:sz w:val="32"/>
          <w:szCs w:val="32"/>
          <w:lang w:eastAsia="zh-CN"/>
        </w:rPr>
        <w:t>附件</w:t>
      </w:r>
      <w:r>
        <w:rPr>
          <w:rStyle w:val="9"/>
          <w:rFonts w:hint="eastAsia" w:ascii="仿宋_GB2312" w:hAnsi="仿宋_GB2312" w:eastAsia="仿宋_GB2312" w:cs="仿宋_GB2312"/>
          <w:b w:val="0"/>
          <w:bCs/>
          <w:i w:val="0"/>
          <w:caps w:val="0"/>
          <w:color w:val="333333"/>
          <w:spacing w:val="0"/>
          <w:sz w:val="32"/>
          <w:szCs w:val="32"/>
          <w:lang w:val="en-US" w:eastAsia="zh-CN"/>
        </w:rPr>
        <w:t>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lang w:val="en-US"/>
        </w:rPr>
      </w:pPr>
      <w:r>
        <w:rPr>
          <w:rStyle w:val="9"/>
          <w:rFonts w:hint="eastAsia" w:ascii="方正小标宋简体" w:hAnsi="方正小标宋简体" w:eastAsia="方正小标宋简体" w:cs="方正小标宋简体"/>
          <w:b w:val="0"/>
          <w:bCs/>
          <w:i w:val="0"/>
          <w:caps w:val="0"/>
          <w:color w:val="333333"/>
          <w:spacing w:val="0"/>
          <w:sz w:val="44"/>
          <w:szCs w:val="44"/>
          <w:lang w:eastAsia="zh-CN"/>
        </w:rPr>
        <w:t>重大执法决定（</w:t>
      </w:r>
      <w:r>
        <w:rPr>
          <w:rStyle w:val="9"/>
          <w:rFonts w:hint="eastAsia" w:ascii="方正小标宋简体" w:hAnsi="方正小标宋简体" w:eastAsia="方正小标宋简体" w:cs="方正小标宋简体"/>
          <w:b w:val="0"/>
          <w:bCs/>
          <w:i w:val="0"/>
          <w:caps w:val="0"/>
          <w:color w:val="333333"/>
          <w:spacing w:val="0"/>
          <w:sz w:val="44"/>
          <w:szCs w:val="44"/>
        </w:rPr>
        <w:t>案件</w:t>
      </w:r>
      <w:r>
        <w:rPr>
          <w:rStyle w:val="9"/>
          <w:rFonts w:hint="eastAsia" w:ascii="方正小标宋简体" w:hAnsi="方正小标宋简体" w:eastAsia="方正小标宋简体" w:cs="方正小标宋简体"/>
          <w:b w:val="0"/>
          <w:bCs/>
          <w:i w:val="0"/>
          <w:caps w:val="0"/>
          <w:color w:val="333333"/>
          <w:spacing w:val="0"/>
          <w:sz w:val="44"/>
          <w:szCs w:val="44"/>
          <w:lang w:eastAsia="zh-CN"/>
        </w:rPr>
        <w:t>）</w:t>
      </w:r>
      <w:r>
        <w:rPr>
          <w:rStyle w:val="9"/>
          <w:rFonts w:hint="eastAsia" w:ascii="方正小标宋简体" w:hAnsi="方正小标宋简体" w:eastAsia="方正小标宋简体" w:cs="方正小标宋简体"/>
          <w:b w:val="0"/>
          <w:bCs/>
          <w:i w:val="0"/>
          <w:caps w:val="0"/>
          <w:color w:val="333333"/>
          <w:spacing w:val="0"/>
          <w:sz w:val="44"/>
          <w:szCs w:val="44"/>
        </w:rPr>
        <w:t>审</w:t>
      </w:r>
      <w:r>
        <w:rPr>
          <w:rStyle w:val="9"/>
          <w:rFonts w:hint="eastAsia" w:ascii="方正小标宋简体" w:hAnsi="方正小标宋简体" w:eastAsia="方正小标宋简体" w:cs="方正小标宋简体"/>
          <w:b w:val="0"/>
          <w:bCs/>
          <w:i w:val="0"/>
          <w:caps w:val="0"/>
          <w:color w:val="333333"/>
          <w:spacing w:val="0"/>
          <w:sz w:val="44"/>
          <w:szCs w:val="44"/>
          <w:lang w:val="en-US"/>
        </w:rPr>
        <w:t>核表</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258"/>
        <w:gridCol w:w="1321"/>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272"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lang w:eastAsia="zh-CN"/>
              </w:rPr>
              <w:t>重大执法决定（</w:t>
            </w:r>
            <w:r>
              <w:rPr>
                <w:rFonts w:hint="eastAsia" w:ascii="仿宋" w:hAnsi="仿宋" w:eastAsia="仿宋" w:cs="仿宋"/>
                <w:sz w:val="24"/>
                <w:szCs w:val="24"/>
              </w:rPr>
              <w:t>案件</w:t>
            </w:r>
            <w:r>
              <w:rPr>
                <w:rFonts w:hint="eastAsia" w:ascii="仿宋" w:hAnsi="仿宋" w:eastAsia="仿宋" w:cs="仿宋"/>
                <w:sz w:val="24"/>
                <w:szCs w:val="24"/>
                <w:lang w:eastAsia="zh-CN"/>
              </w:rPr>
              <w:t>）</w:t>
            </w:r>
            <w:r>
              <w:rPr>
                <w:rFonts w:hint="eastAsia" w:ascii="仿宋" w:hAnsi="仿宋" w:eastAsia="仿宋" w:cs="仿宋"/>
                <w:sz w:val="24"/>
                <w:szCs w:val="24"/>
              </w:rPr>
              <w:t>名称</w:t>
            </w:r>
          </w:p>
        </w:tc>
        <w:tc>
          <w:tcPr>
            <w:tcW w:w="7789" w:type="dxa"/>
            <w:gridSpan w:val="3"/>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72" w:type="dxa"/>
            <w:shd w:val="clear" w:color="auto" w:fill="FFFFFF"/>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送审机构</w:t>
            </w:r>
          </w:p>
        </w:tc>
        <w:tc>
          <w:tcPr>
            <w:tcW w:w="7789" w:type="dxa"/>
            <w:gridSpan w:val="3"/>
            <w:shd w:val="clear" w:color="auto" w:fill="FFFFFF"/>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1272"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送审时间</w:t>
            </w:r>
          </w:p>
        </w:tc>
        <w:tc>
          <w:tcPr>
            <w:tcW w:w="3258"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color w:val="000000"/>
                <w:sz w:val="24"/>
                <w:szCs w:val="24"/>
              </w:rPr>
              <w:t>年    月    日</w:t>
            </w:r>
          </w:p>
        </w:tc>
        <w:tc>
          <w:tcPr>
            <w:tcW w:w="1321"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退卷时间</w:t>
            </w:r>
          </w:p>
        </w:tc>
        <w:tc>
          <w:tcPr>
            <w:tcW w:w="3210"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8" w:hRule="atLeast"/>
        </w:trPr>
        <w:tc>
          <w:tcPr>
            <w:tcW w:w="1272"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审核意见和建议</w:t>
            </w:r>
          </w:p>
        </w:tc>
        <w:tc>
          <w:tcPr>
            <w:tcW w:w="7789" w:type="dxa"/>
            <w:gridSpan w:val="3"/>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审核人：</w:t>
            </w:r>
            <w:r>
              <w:rPr>
                <w:rFonts w:hint="eastAsia" w:ascii="仿宋" w:hAnsi="仿宋" w:eastAsia="仿宋" w:cs="仿宋"/>
                <w:sz w:val="24"/>
                <w:szCs w:val="24"/>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lang w:val="en-US" w:eastAsia="zh-CN"/>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right"/>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 xml:space="preserve">年   月  </w:t>
            </w:r>
            <w:r>
              <w:rPr>
                <w:rFonts w:hint="eastAsia" w:ascii="仿宋" w:hAnsi="仿宋" w:eastAsia="仿宋" w:cs="仿宋"/>
                <w:color w:val="FF0000"/>
                <w:sz w:val="24"/>
                <w:szCs w:val="24"/>
              </w:rPr>
              <w:t xml:space="preserve"> </w:t>
            </w: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1" w:hRule="atLeast"/>
        </w:trPr>
        <w:tc>
          <w:tcPr>
            <w:tcW w:w="1272"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审核机构负责人</w:t>
            </w: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意见</w:t>
            </w:r>
          </w:p>
        </w:tc>
        <w:tc>
          <w:tcPr>
            <w:tcW w:w="7789" w:type="dxa"/>
            <w:gridSpan w:val="3"/>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审核机构负责人：</w:t>
            </w:r>
            <w:r>
              <w:rPr>
                <w:rFonts w:hint="eastAsia" w:ascii="仿宋" w:hAnsi="仿宋" w:eastAsia="仿宋" w:cs="仿宋"/>
                <w:sz w:val="24"/>
                <w:szCs w:val="24"/>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 w:hAnsi="仿宋" w:eastAsia="仿宋" w:cs="仿宋"/>
                <w:sz w:val="24"/>
                <w:szCs w:val="24"/>
                <w:lang w:val="en-US" w:eastAsia="zh-CN"/>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right"/>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 xml:space="preserve">年   月  </w:t>
            </w:r>
            <w:r>
              <w:rPr>
                <w:rFonts w:hint="eastAsia" w:ascii="仿宋" w:hAnsi="仿宋" w:eastAsia="仿宋" w:cs="仿宋"/>
                <w:color w:val="FF0000"/>
                <w:sz w:val="24"/>
                <w:szCs w:val="24"/>
              </w:rPr>
              <w:t xml:space="preserve"> </w:t>
            </w: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272" w:type="dxa"/>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r>
              <w:rPr>
                <w:rFonts w:hint="eastAsia" w:ascii="仿宋" w:hAnsi="仿宋" w:eastAsia="仿宋" w:cs="仿宋"/>
                <w:sz w:val="24"/>
                <w:szCs w:val="24"/>
              </w:rPr>
              <w:t>备  注</w:t>
            </w:r>
          </w:p>
        </w:tc>
        <w:tc>
          <w:tcPr>
            <w:tcW w:w="7789" w:type="dxa"/>
            <w:gridSpan w:val="3"/>
            <w:shd w:val="clear" w:color="auto" w:fill="FFFFFF"/>
            <w:noWrap w:val="0"/>
            <w:vAlign w:val="center"/>
          </w:tcPr>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仿宋" w:hAnsi="仿宋" w:eastAsia="仿宋" w:cs="仿宋"/>
                <w:color w:val="000000"/>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仿宋" w:hAnsi="仿宋" w:eastAsia="仿宋" w:cs="仿宋"/>
                <w:color w:val="000000"/>
                <w:sz w:val="24"/>
                <w:szCs w:val="24"/>
              </w:rPr>
            </w:pPr>
          </w:p>
          <w:p>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333333"/>
                <w:spacing w:val="0"/>
                <w:sz w:val="24"/>
                <w:szCs w:val="24"/>
                <w:vertAlign w:val="baseline"/>
                <w:lang w:val="en-US"/>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608" w:firstLineChars="190"/>
        <w:jc w:val="left"/>
        <w:textAlignment w:val="auto"/>
        <w:outlineLvl w:val="9"/>
        <w:rPr>
          <w:rFonts w:hint="default" w:ascii="黑体" w:hAnsi="黑体" w:eastAsia="黑体" w:cs="黑体"/>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23DFD"/>
    <w:multiLevelType w:val="singleLevel"/>
    <w:tmpl w:val="D3323DFD"/>
    <w:lvl w:ilvl="0" w:tentative="0">
      <w:start w:val="1"/>
      <w:numFmt w:val="chineseCounting"/>
      <w:suff w:val="space"/>
      <w:lvlText w:val="第%1条"/>
      <w:lvlJc w:val="left"/>
      <w:pPr>
        <w:tabs>
          <w:tab w:val="left" w:pos="0"/>
        </w:tabs>
      </w:pPr>
      <w:rPr>
        <w:rFonts w:hint="eastAsia"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05940"/>
    <w:rsid w:val="0021050E"/>
    <w:rsid w:val="087C53BF"/>
    <w:rsid w:val="08F602FB"/>
    <w:rsid w:val="0C9B3293"/>
    <w:rsid w:val="0F831C55"/>
    <w:rsid w:val="12A73B47"/>
    <w:rsid w:val="142A0338"/>
    <w:rsid w:val="14C4219E"/>
    <w:rsid w:val="173A6CE9"/>
    <w:rsid w:val="181432BF"/>
    <w:rsid w:val="1A6B2C84"/>
    <w:rsid w:val="1ED44982"/>
    <w:rsid w:val="20E73E08"/>
    <w:rsid w:val="21897971"/>
    <w:rsid w:val="22694005"/>
    <w:rsid w:val="23C74DB2"/>
    <w:rsid w:val="275A3B74"/>
    <w:rsid w:val="27BB1ABE"/>
    <w:rsid w:val="27FB5BF1"/>
    <w:rsid w:val="2ADD6E9A"/>
    <w:rsid w:val="2B066CD1"/>
    <w:rsid w:val="2B7957BC"/>
    <w:rsid w:val="2C9D7540"/>
    <w:rsid w:val="2E1C31CE"/>
    <w:rsid w:val="2F4D5E3C"/>
    <w:rsid w:val="30826DCE"/>
    <w:rsid w:val="308D010F"/>
    <w:rsid w:val="30E857BA"/>
    <w:rsid w:val="31094B68"/>
    <w:rsid w:val="315E13D3"/>
    <w:rsid w:val="33172CCA"/>
    <w:rsid w:val="3580180B"/>
    <w:rsid w:val="35A65563"/>
    <w:rsid w:val="377E37BB"/>
    <w:rsid w:val="38405940"/>
    <w:rsid w:val="38C73DDD"/>
    <w:rsid w:val="3A143F8E"/>
    <w:rsid w:val="40FC1978"/>
    <w:rsid w:val="41CD2BC2"/>
    <w:rsid w:val="455521CF"/>
    <w:rsid w:val="45AE4993"/>
    <w:rsid w:val="45EA5204"/>
    <w:rsid w:val="4800042E"/>
    <w:rsid w:val="496723ED"/>
    <w:rsid w:val="4A097885"/>
    <w:rsid w:val="4B855C95"/>
    <w:rsid w:val="4D593619"/>
    <w:rsid w:val="4DF10419"/>
    <w:rsid w:val="4E81146E"/>
    <w:rsid w:val="56D561AE"/>
    <w:rsid w:val="57353942"/>
    <w:rsid w:val="57453E81"/>
    <w:rsid w:val="58A36FFE"/>
    <w:rsid w:val="5A832BF6"/>
    <w:rsid w:val="5CE05951"/>
    <w:rsid w:val="616C7D2C"/>
    <w:rsid w:val="62D408FF"/>
    <w:rsid w:val="63125A51"/>
    <w:rsid w:val="63472535"/>
    <w:rsid w:val="64866A11"/>
    <w:rsid w:val="64AD34A2"/>
    <w:rsid w:val="65D279F2"/>
    <w:rsid w:val="66B57D40"/>
    <w:rsid w:val="678D77B6"/>
    <w:rsid w:val="699E59D6"/>
    <w:rsid w:val="69C13AD8"/>
    <w:rsid w:val="6E0F5CF9"/>
    <w:rsid w:val="6EB11526"/>
    <w:rsid w:val="6F13570F"/>
    <w:rsid w:val="6F194E12"/>
    <w:rsid w:val="71837AFA"/>
    <w:rsid w:val="747A2A70"/>
    <w:rsid w:val="780F0ECE"/>
    <w:rsid w:val="78987F70"/>
    <w:rsid w:val="7989098A"/>
    <w:rsid w:val="7B196502"/>
    <w:rsid w:val="7C6D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2019-09-04T03:06:00Z</dcterms:created>
  <dc:creator>逍遥游</dc:creator>
  <cp:lastModifiedBy>逍遥游</cp:lastModifiedBy>
  <dcterms:modified xsi:type="dcterms:W3CDTF">2019-11-08T02:26:10Z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