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宋体-GB13000" w:hAnsi="CESI宋体-GB13000" w:eastAsia="CESI宋体-GB13000" w:cs="CESI宋体-GB13000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　　　　</w:t>
      </w:r>
      <w:bookmarkStart w:id="0" w:name="_GoBack"/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　</w:t>
      </w:r>
      <w:r>
        <w:rPr>
          <w:rFonts w:hint="eastAsia" w:ascii="CESI宋体-GB13000" w:hAnsi="CESI宋体-GB13000" w:eastAsia="CESI宋体-GB13000" w:cs="CESI宋体-GB13000"/>
          <w:b/>
          <w:bCs/>
          <w:kern w:val="2"/>
          <w:sz w:val="44"/>
          <w:szCs w:val="44"/>
          <w:lang w:val="en-US" w:eastAsia="zh-CN" w:bidi="ar-SA"/>
        </w:rPr>
        <w:t>化妆品经营十不准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baseline"/>
        <w:rPr>
          <w:rFonts w:hint="eastAsia" w:ascii="CESI宋体-GB13000" w:hAnsi="CESI宋体-GB13000" w:eastAsia="CESI宋体-GB13000" w:cs="CESI宋体-GB13000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一、不准经营未获《化妆品生产许可证》的企业生产的化妆品。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二、不准经营或进口未经注册、备案的化妆品。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三、不准经营最小销售单元无中文标签或标签不符合规定的化妆品。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四、不准经营提供不了出厂检验合格证明的国产化妆品。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五、不准经营提供不了入境货物合法证明的进口化妆品。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六、不准经营变质、超过使用期限的化妆品。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七、不准更改化妆品使用期限。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八、不准发布明示或暗示化妆品具有医疗作用或者含有虚假、引人误解内容的广告欺骗、误导消费者。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九、不准经营通知、通告等要求召回、暂停或者停止销售（经营）的化妆品。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十、不准自行配制、填充或灌装化妆品内容物。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BDC957"/>
    <w:rsid w:val="BDA7D80F"/>
    <w:rsid w:val="DDED8AE3"/>
    <w:rsid w:val="EBBDC957"/>
    <w:rsid w:val="FDE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eastAsia="宋体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2022-02-17T16:33:00Z</dcterms:created>
  <dc:creator>yjj</dc:creator>
  <cp:lastModifiedBy>yjj</cp:lastModifiedBy>
  <dcterms:modified xsi:type="dcterms:W3CDTF">2022-02-17T17:11:23Z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