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2020年化妆品生产企业检查计划安排</w:t>
      </w:r>
    </w:p>
    <w:p>
      <w:pPr>
        <w:ind w:firstLine="640"/>
        <w:rPr>
          <w:rFonts w:hint="eastAsia" w:ascii="宋体" w:hAnsi="宋体" w:eastAsia="宋体" w:cs="宋体"/>
          <w:b/>
          <w:bCs/>
          <w:sz w:val="36"/>
          <w:szCs w:val="36"/>
          <w:lang w:val="en-US" w:eastAsia="zh-CN"/>
        </w:rPr>
      </w:pPr>
    </w:p>
    <w:tbl>
      <w:tblPr>
        <w:tblStyle w:val="6"/>
        <w:tblW w:w="874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4445"/>
        <w:gridCol w:w="1691"/>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center"/>
              <w:rPr>
                <w:rFonts w:hint="eastAsia" w:ascii="楷体" w:hAnsi="楷体" w:eastAsia="楷体" w:cs="楷体"/>
                <w:b/>
                <w:bCs/>
                <w:sz w:val="30"/>
                <w:szCs w:val="30"/>
                <w:vertAlign w:val="baseline"/>
                <w:lang w:val="en-US" w:eastAsia="zh-CN"/>
              </w:rPr>
            </w:pPr>
            <w:r>
              <w:rPr>
                <w:rFonts w:hint="eastAsia" w:ascii="楷体" w:hAnsi="楷体" w:eastAsia="楷体" w:cs="楷体"/>
                <w:b/>
                <w:bCs/>
                <w:sz w:val="30"/>
                <w:szCs w:val="30"/>
                <w:vertAlign w:val="baseline"/>
                <w:lang w:val="en-US" w:eastAsia="zh-CN"/>
              </w:rPr>
              <w:t>序号</w:t>
            </w:r>
          </w:p>
        </w:tc>
        <w:tc>
          <w:tcPr>
            <w:tcW w:w="4445" w:type="dxa"/>
            <w:vAlign w:val="center"/>
          </w:tcPr>
          <w:p>
            <w:pPr>
              <w:jc w:val="center"/>
              <w:rPr>
                <w:rFonts w:hint="eastAsia" w:ascii="楷体" w:hAnsi="楷体" w:eastAsia="楷体" w:cs="楷体"/>
                <w:b/>
                <w:bCs/>
                <w:sz w:val="30"/>
                <w:szCs w:val="30"/>
                <w:vertAlign w:val="baseline"/>
                <w:lang w:val="en-US" w:eastAsia="zh-CN"/>
              </w:rPr>
            </w:pPr>
            <w:r>
              <w:rPr>
                <w:rFonts w:hint="eastAsia" w:ascii="楷体" w:hAnsi="楷体" w:eastAsia="楷体" w:cs="楷体"/>
                <w:b/>
                <w:bCs/>
                <w:sz w:val="30"/>
                <w:szCs w:val="30"/>
                <w:vertAlign w:val="baseline"/>
                <w:lang w:val="en-US" w:eastAsia="zh-CN"/>
              </w:rPr>
              <w:t>企业名称</w:t>
            </w:r>
          </w:p>
        </w:tc>
        <w:tc>
          <w:tcPr>
            <w:tcW w:w="1691" w:type="dxa"/>
            <w:vAlign w:val="center"/>
          </w:tcPr>
          <w:p>
            <w:pPr>
              <w:jc w:val="center"/>
              <w:rPr>
                <w:rFonts w:hint="eastAsia" w:ascii="楷体" w:hAnsi="楷体" w:eastAsia="楷体" w:cs="楷体"/>
                <w:b/>
                <w:bCs/>
                <w:sz w:val="30"/>
                <w:szCs w:val="30"/>
                <w:vertAlign w:val="baseline"/>
                <w:lang w:val="en-US" w:eastAsia="zh-CN"/>
              </w:rPr>
            </w:pPr>
            <w:r>
              <w:rPr>
                <w:rFonts w:hint="eastAsia" w:ascii="楷体" w:hAnsi="楷体" w:eastAsia="楷体" w:cs="楷体"/>
                <w:b/>
                <w:bCs/>
                <w:sz w:val="30"/>
                <w:szCs w:val="30"/>
                <w:vertAlign w:val="baseline"/>
                <w:lang w:val="en-US" w:eastAsia="zh-CN"/>
              </w:rPr>
              <w:t>检查日期</w:t>
            </w:r>
          </w:p>
        </w:tc>
        <w:tc>
          <w:tcPr>
            <w:tcW w:w="1786" w:type="dxa"/>
            <w:vAlign w:val="center"/>
          </w:tcPr>
          <w:p>
            <w:pPr>
              <w:jc w:val="center"/>
              <w:rPr>
                <w:rFonts w:hint="eastAsia" w:ascii="楷体" w:hAnsi="楷体" w:eastAsia="楷体" w:cs="楷体"/>
                <w:b/>
                <w:bCs/>
                <w:sz w:val="30"/>
                <w:szCs w:val="30"/>
                <w:vertAlign w:val="baseline"/>
                <w:lang w:val="en-US" w:eastAsia="zh-CN"/>
              </w:rPr>
            </w:pPr>
            <w:r>
              <w:rPr>
                <w:rFonts w:hint="eastAsia" w:ascii="楷体" w:hAnsi="楷体" w:eastAsia="楷体" w:cs="楷体"/>
                <w:b/>
                <w:bCs/>
                <w:sz w:val="30"/>
                <w:szCs w:val="30"/>
                <w:vertAlign w:val="baseline"/>
                <w:lang w:val="en-US" w:eastAsia="zh-CN"/>
              </w:rPr>
              <w:t>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1.</w:t>
            </w:r>
          </w:p>
        </w:tc>
        <w:tc>
          <w:tcPr>
            <w:tcW w:w="4445"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银川凤仪堂生物工程有限公司</w:t>
            </w:r>
          </w:p>
        </w:tc>
        <w:tc>
          <w:tcPr>
            <w:tcW w:w="1691"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2020年4月</w:t>
            </w:r>
          </w:p>
        </w:tc>
        <w:tc>
          <w:tcPr>
            <w:tcW w:w="1786"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w:t>
            </w:r>
          </w:p>
        </w:tc>
        <w:tc>
          <w:tcPr>
            <w:tcW w:w="4445"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宁夏</w:t>
            </w:r>
            <w:r>
              <w:rPr>
                <w:rFonts w:hint="eastAsia" w:ascii="仿宋" w:hAnsi="仿宋" w:eastAsia="仿宋" w:cs="仿宋"/>
                <w:b w:val="0"/>
                <w:i w:val="0"/>
                <w:caps w:val="0"/>
                <w:color w:val="333333"/>
                <w:spacing w:val="0"/>
                <w:sz w:val="30"/>
                <w:szCs w:val="30"/>
                <w:shd w:val="clear" w:color="auto" w:fill="FFFFFF"/>
              </w:rPr>
              <w:t>艾伊生物工程研发有限公司</w:t>
            </w:r>
          </w:p>
        </w:tc>
        <w:tc>
          <w:tcPr>
            <w:tcW w:w="1691"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2020年4月</w:t>
            </w:r>
          </w:p>
        </w:tc>
        <w:tc>
          <w:tcPr>
            <w:tcW w:w="1786"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3.</w:t>
            </w:r>
          </w:p>
        </w:tc>
        <w:tc>
          <w:tcPr>
            <w:tcW w:w="4445"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宁夏杞叶青生物工程有限公司</w:t>
            </w:r>
          </w:p>
        </w:tc>
        <w:tc>
          <w:tcPr>
            <w:tcW w:w="1691"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2020年4月</w:t>
            </w:r>
          </w:p>
        </w:tc>
        <w:tc>
          <w:tcPr>
            <w:tcW w:w="1786"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4.</w:t>
            </w:r>
          </w:p>
        </w:tc>
        <w:tc>
          <w:tcPr>
            <w:tcW w:w="4445"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宁夏欣发宝养发有限公司</w:t>
            </w:r>
          </w:p>
        </w:tc>
        <w:tc>
          <w:tcPr>
            <w:tcW w:w="1691" w:type="dxa"/>
            <w:vAlign w:val="center"/>
          </w:tcPr>
          <w:p>
            <w:pPr>
              <w:jc w:val="left"/>
              <w:rPr>
                <w:rFonts w:hint="eastAsia" w:ascii="仿宋" w:hAnsi="仿宋" w:eastAsia="仿宋" w:cs="仿宋"/>
                <w:b/>
                <w:bCs/>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2020年4月</w:t>
            </w:r>
          </w:p>
        </w:tc>
        <w:tc>
          <w:tcPr>
            <w:tcW w:w="1786"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819"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5.</w:t>
            </w:r>
          </w:p>
        </w:tc>
        <w:tc>
          <w:tcPr>
            <w:tcW w:w="4445"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i w:val="0"/>
                <w:caps w:val="0"/>
                <w:color w:val="333333"/>
                <w:spacing w:val="0"/>
                <w:sz w:val="30"/>
                <w:szCs w:val="30"/>
                <w:shd w:val="clear" w:color="auto" w:fill="FFFFFF"/>
              </w:rPr>
              <w:t>宁夏藻谷生物工程有限公司</w:t>
            </w:r>
          </w:p>
        </w:tc>
        <w:tc>
          <w:tcPr>
            <w:tcW w:w="1691"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2020年4月</w:t>
            </w:r>
          </w:p>
        </w:tc>
        <w:tc>
          <w:tcPr>
            <w:tcW w:w="1786" w:type="dxa"/>
            <w:vAlign w:val="center"/>
          </w:tcPr>
          <w:p>
            <w:pPr>
              <w:jc w:val="left"/>
              <w:rPr>
                <w:rFonts w:hint="eastAsia" w:ascii="仿宋" w:hAnsi="仿宋" w:eastAsia="仿宋" w:cs="仿宋"/>
                <w:b w:val="0"/>
                <w:bCs w:val="0"/>
                <w:sz w:val="30"/>
                <w:szCs w:val="30"/>
                <w:vertAlign w:val="baseline"/>
                <w:lang w:val="en-US" w:eastAsia="zh-CN"/>
              </w:rPr>
            </w:pPr>
            <w:r>
              <w:rPr>
                <w:rFonts w:hint="eastAsia" w:ascii="仿宋" w:hAnsi="仿宋" w:eastAsia="仿宋" w:cs="仿宋"/>
                <w:b w:val="0"/>
                <w:bCs w:val="0"/>
                <w:sz w:val="30"/>
                <w:szCs w:val="30"/>
                <w:vertAlign w:val="baseline"/>
                <w:lang w:val="en-US" w:eastAsia="zh-CN"/>
              </w:rPr>
              <w:t>2020年9月</w:t>
            </w:r>
          </w:p>
        </w:tc>
      </w:tr>
    </w:tbl>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sectPr>
          <w:footerReference r:id="rId3" w:type="default"/>
          <w:pgSz w:w="11906" w:h="16838"/>
          <w:pgMar w:top="2098" w:right="1531" w:bottom="1985" w:left="1531" w:header="851" w:footer="1418" w:gutter="0"/>
          <w:pgNumType w:fmt="numberInDash"/>
          <w:cols w:space="720" w:num="1"/>
          <w:docGrid w:type="linesAndChars" w:linePitch="579" w:charSpace="-849"/>
        </w:sect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附件2</w:t>
      </w:r>
    </w:p>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化妆品生产企业现场检查表</w:t>
      </w:r>
    </w:p>
    <w:tbl>
      <w:tblPr>
        <w:tblStyle w:val="5"/>
        <w:tblW w:w="1333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3879"/>
        <w:gridCol w:w="1373"/>
        <w:gridCol w:w="1748"/>
        <w:gridCol w:w="2718"/>
        <w:gridCol w:w="3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序号</w:t>
            </w:r>
          </w:p>
        </w:tc>
        <w:tc>
          <w:tcPr>
            <w:tcW w:w="3879" w:type="dxa"/>
            <w:vAlign w:val="center"/>
          </w:tcPr>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检查内容</w:t>
            </w:r>
          </w:p>
        </w:tc>
        <w:tc>
          <w:tcPr>
            <w:tcW w:w="1373" w:type="dxa"/>
            <w:vAlign w:val="center"/>
          </w:tcPr>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检查方式</w:t>
            </w:r>
          </w:p>
        </w:tc>
        <w:tc>
          <w:tcPr>
            <w:tcW w:w="1748" w:type="dxa"/>
            <w:vAlign w:val="center"/>
          </w:tcPr>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检查结果</w:t>
            </w:r>
          </w:p>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（在□内打“√”）</w:t>
            </w:r>
          </w:p>
        </w:tc>
        <w:tc>
          <w:tcPr>
            <w:tcW w:w="2718" w:type="dxa"/>
            <w:vAlign w:val="center"/>
          </w:tcPr>
          <w:p>
            <w:pPr>
              <w:spacing w:beforeLines="0" w:afterLines="0" w:line="300" w:lineRule="exact"/>
              <w:jc w:val="center"/>
              <w:rPr>
                <w:rFonts w:hint="eastAsia" w:ascii="方正黑体_GBK" w:eastAsia="方正黑体_GBK" w:cs="宋体"/>
                <w:bCs/>
                <w:sz w:val="18"/>
                <w:szCs w:val="18"/>
              </w:rPr>
            </w:pPr>
            <w:r>
              <w:rPr>
                <w:rFonts w:hint="eastAsia" w:ascii="方正黑体_GBK" w:hAnsi="宋体" w:eastAsia="方正黑体_GBK" w:cs="宋体"/>
                <w:bCs/>
                <w:sz w:val="18"/>
                <w:szCs w:val="18"/>
              </w:rPr>
              <w:t>不符合情况说明</w:t>
            </w:r>
          </w:p>
        </w:tc>
        <w:tc>
          <w:tcPr>
            <w:tcW w:w="3035" w:type="dxa"/>
            <w:vAlign w:val="center"/>
          </w:tcPr>
          <w:p>
            <w:pPr>
              <w:spacing w:beforeLines="0" w:afterLines="0" w:line="300" w:lineRule="exact"/>
              <w:jc w:val="center"/>
              <w:rPr>
                <w:rFonts w:hint="eastAsia" w:ascii="方正黑体_GBK" w:hAnsi="宋体" w:eastAsia="方正黑体_GBK"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黑体" w:hAnsi="黑体" w:eastAsia="黑体"/>
                <w:b/>
              </w:rPr>
            </w:pPr>
            <w:r>
              <w:rPr>
                <w:rFonts w:hint="eastAsia" w:ascii="黑体" w:hAnsi="黑体" w:eastAsia="黑体"/>
                <w:b/>
              </w:rPr>
              <w:t>（一）生产企业合规性检查</w:t>
            </w:r>
          </w:p>
        </w:tc>
        <w:tc>
          <w:tcPr>
            <w:tcW w:w="1373"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174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（*）生产企业许可事项的范围、地址、品种、类别、许可期限等内容是否与批准的一致。</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hint="eastAsia" w:ascii="宋体" w:cs="宋体"/>
                <w:sz w:val="18"/>
                <w:szCs w:val="18"/>
              </w:rPr>
            </w:pPr>
            <w:r>
              <w:rPr>
                <w:rFonts w:hint="eastAsia" w:ascii="宋体" w:cs="宋体"/>
                <w:sz w:val="18"/>
                <w:szCs w:val="18"/>
              </w:rPr>
              <w:t>生产特殊用途化妆品是否取得有效许可批件（*）；</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非特殊用途化妆品是否经过备案。</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委托生产是否明确委托双方产品质量责任及相关要求。</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黑体" w:hAnsi="黑体" w:eastAsia="黑体"/>
                <w:b/>
              </w:rPr>
            </w:pPr>
            <w:r>
              <w:rPr>
                <w:rFonts w:hint="eastAsia" w:ascii="黑体" w:hAnsi="黑体" w:eastAsia="黑体"/>
                <w:b/>
              </w:rPr>
              <w:t>（二）人员管理</w:t>
            </w:r>
          </w:p>
        </w:tc>
        <w:tc>
          <w:tcPr>
            <w:tcW w:w="1373"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174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4</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是否建立与企业规模相适应的质量管理机构，并配备符合要求的质量负责人和质量管理部门负责人。</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5</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是否配备符合要求的生产负责人。</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6</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（*）是否配备符合要求的检验人员。</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7</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hAnsi="宋体" w:cs="宋体"/>
                <w:sz w:val="18"/>
                <w:szCs w:val="18"/>
              </w:rPr>
              <w:t>直接从事化妆品生产的从业人员是否持有健康体检证明；是否建立从业人员健康档案；患有传染病的人员是否已调离直接从事化妆品生产的岗位。</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8</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hAnsi="宋体" w:cs="宋体"/>
                <w:sz w:val="18"/>
                <w:szCs w:val="18"/>
              </w:rPr>
              <w:t>是否按要求对参与生产、质量有关活动的人员进行培训和考核。</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9</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hAnsi="宋体" w:cs="宋体"/>
                <w:sz w:val="18"/>
                <w:szCs w:val="18"/>
              </w:rPr>
              <w:t>生产人员生产时是否穿戴工作服、鞋、帽；工作服是否整洁，穿戴是否符合要求；生产人员是否在生产场所吸烟、进食或存放个人生活用品；直接从事化妆品生产的人员是否戴首饰、手表、染指甲或留长指甲。</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黑体" w:hAnsi="黑体" w:eastAsia="黑体"/>
                <w:b/>
              </w:rPr>
            </w:pPr>
            <w:r>
              <w:rPr>
                <w:rFonts w:hint="eastAsia" w:ascii="黑体" w:hAnsi="黑体" w:eastAsia="黑体"/>
                <w:b/>
              </w:rPr>
              <w:t>（三）质量管理</w:t>
            </w:r>
          </w:p>
        </w:tc>
        <w:tc>
          <w:tcPr>
            <w:tcW w:w="1373"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174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10</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企业是否制定完善的质量管理制度并严格执行（如物料供应管理制度、检验管理制度、放行管理制度、生产工艺管理制度、留样管理制度、追溯管理制度、不合格品管理制度等）。</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11</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方正小标宋简体" w:eastAsia="方正小标宋简体"/>
              </w:rPr>
            </w:pPr>
            <w:r>
              <w:rPr>
                <w:rFonts w:hint="eastAsia" w:ascii="宋体" w:cs="宋体"/>
                <w:sz w:val="18"/>
                <w:szCs w:val="18"/>
              </w:rPr>
              <w:t>企业是否根据产品质量标准配备相应的实验室及检验设施设备。</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12</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cs="宋体"/>
                <w:sz w:val="18"/>
                <w:szCs w:val="18"/>
              </w:rPr>
              <w:t>是否定期进行实验室仪器设备的检定、清洁、保养等工作。</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13</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cs="宋体"/>
                <w:sz w:val="18"/>
                <w:szCs w:val="18"/>
              </w:rPr>
              <w:t>企业是否建立原料、包装材料、中间产品和成品检验标准；是否按照相应的质量标准对原料、包装材料、中间产品和成品进行检验。</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14</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是否按产品质量标准要求开展每批产品出厂前的微生物项目检验工作。</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15</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是否建立检验记录，记录是否真实完整，记录保留期限应比产品的保质期长</w:t>
            </w:r>
            <w:r>
              <w:rPr>
                <w:rFonts w:ascii="宋体" w:hAnsi="宋体" w:cs="宋体"/>
                <w:sz w:val="18"/>
                <w:szCs w:val="18"/>
              </w:rPr>
              <w:t>6</w:t>
            </w:r>
            <w:r>
              <w:rPr>
                <w:rFonts w:hint="eastAsia" w:ascii="宋体" w:hAnsi="宋体" w:cs="宋体"/>
                <w:sz w:val="18"/>
                <w:szCs w:val="18"/>
              </w:rPr>
              <w:t>个月。</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trPr>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16</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是否按要求实行留样，留样记录是否完整。</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17</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质量管理部门是否行使物料、中间产品和成品的放行权。</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cs="宋体"/>
                <w:sz w:val="18"/>
                <w:szCs w:val="18"/>
              </w:rPr>
              <w:t>□合格</w:t>
            </w:r>
            <w:r>
              <w:rPr>
                <w:rFonts w:ascii="宋体" w:cs="宋体"/>
                <w:sz w:val="18"/>
                <w:szCs w:val="18"/>
              </w:rPr>
              <w:t xml:space="preserve">  </w:t>
            </w:r>
            <w:r>
              <w:rPr>
                <w:rFonts w:hint="eastAsia" w:asci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方正小标宋简体" w:eastAsia="方正小标宋简体"/>
              </w:rPr>
            </w:pPr>
            <w:r>
              <w:rPr>
                <w:rFonts w:hint="eastAsia" w:ascii="黑体" w:hAnsi="黑体" w:eastAsia="黑体"/>
                <w:b/>
              </w:rPr>
              <w:t>（四）生产管理</w:t>
            </w:r>
          </w:p>
        </w:tc>
        <w:tc>
          <w:tcPr>
            <w:tcW w:w="1373"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174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18</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厂区环境是否清洁卫生；周围</w:t>
            </w:r>
            <w:r>
              <w:rPr>
                <w:rFonts w:ascii="宋体" w:hAnsi="宋体" w:cs="宋体"/>
                <w:sz w:val="18"/>
                <w:szCs w:val="18"/>
              </w:rPr>
              <w:t>30</w:t>
            </w:r>
            <w:r>
              <w:rPr>
                <w:rFonts w:hint="eastAsia" w:ascii="宋体" w:hAnsi="宋体" w:cs="宋体"/>
                <w:sz w:val="18"/>
                <w:szCs w:val="18"/>
              </w:rPr>
              <w:t>米内是否有可能对产品安全性造成影响的污染源。</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19</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（*）是否擅自更改已许可的生产场地、功能布局及设施；生产车间是否按已许可的设计功能使用。</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20</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生产车间内墙面、地面、天花、门窗、纱窗及通风排气网罩等是否有破损、剥落、霉迹等现象，是否保持清洁。</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21</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产生粉尘的生产场所是否配备有效的除尘设施。</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22</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更衣室是否设置衣柜、换鞋柜，是否采用拦截式设计；衣、帽、鞋是否清洁、数量足够；洗手、消毒设施是否能正常运转。</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23</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生产车间是否存放与生产无关的物品。</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24</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生产设备、检验仪器设备、生产车间空气净化设施或通风排气设施、消毒设施是否正常运转及定期维护；有无使用、维护记录，记录是否完整。</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25</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（*）生产用水水质是否达到国家生活饮用水卫生标准（</w:t>
            </w:r>
            <w:r>
              <w:rPr>
                <w:rFonts w:ascii="宋体" w:hAnsi="宋体" w:cs="宋体"/>
                <w:sz w:val="18"/>
                <w:szCs w:val="18"/>
              </w:rPr>
              <w:t>GB5749-2006</w:t>
            </w:r>
            <w:r>
              <w:rPr>
                <w:rFonts w:hint="eastAsia" w:ascii="宋体" w:hAnsi="宋体" w:cs="宋体"/>
                <w:sz w:val="18"/>
                <w:szCs w:val="18"/>
              </w:rPr>
              <w:t>）的要求（</w:t>
            </w:r>
            <w:r>
              <w:rPr>
                <w:rFonts w:ascii="宋体" w:hAnsi="宋体" w:cs="宋体"/>
                <w:sz w:val="18"/>
                <w:szCs w:val="18"/>
              </w:rPr>
              <w:t>pH</w:t>
            </w:r>
            <w:r>
              <w:rPr>
                <w:rFonts w:hint="eastAsia" w:ascii="宋体" w:hAnsi="宋体" w:cs="宋体"/>
                <w:sz w:val="18"/>
                <w:szCs w:val="18"/>
              </w:rPr>
              <w:t>值除外）；生产工艺用水是否定期监测。</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26</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特殊用途化妆品是否按许可配方生产；非特殊用途化妆品配方是否与网上备案的成分一致。</w:t>
            </w:r>
          </w:p>
        </w:tc>
        <w:tc>
          <w:tcPr>
            <w:tcW w:w="1373"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27</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是否制定化妆品生产的标准操作规程；是否按规程进行生产。</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28</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化妆品生产过程中是否建立各项原始记录（包括原料和成品进出库记录、产品配方、称量记录、批生产记录、批号管理、批包装记录、岗位操作记录及工艺规程中各个关键控制点监控记录等）并妥善保存。</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29</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（*）企业是否建立从物料入库、验收、产品生产销售全过程的追溯管理制度，各项记录是否完整并可追溯。</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30</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生产过程中的废弃物是否设固定存放区域或专用容器收集，及时处理。</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31</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生产设备、容器、工具等在使用前后是否进行清洗和消毒。</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现场检查，查阅资料</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黑体" w:hAnsi="黑体" w:eastAsia="黑体" w:cs="宋体"/>
                <w:b/>
                <w:szCs w:val="21"/>
              </w:rPr>
            </w:pPr>
            <w:r>
              <w:rPr>
                <w:rFonts w:hint="eastAsia" w:ascii="黑体" w:hAnsi="黑体" w:eastAsia="黑体" w:cs="宋体"/>
                <w:b/>
                <w:szCs w:val="21"/>
              </w:rPr>
              <w:t>（五）原料管理</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32</w:t>
            </w:r>
          </w:p>
        </w:tc>
        <w:tc>
          <w:tcPr>
            <w:tcW w:w="3879"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（*）是否使用化妆品禁用原料及未经批准的化妆品新原料生产；限用原料是否在规定的使用限度内。</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33</w:t>
            </w:r>
          </w:p>
        </w:tc>
        <w:tc>
          <w:tcPr>
            <w:tcW w:w="3879"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是否建立供应商管理制度；是否建立供应商档案，建立合格供应商清单，定期对供应商进行评估和检查。</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34</w:t>
            </w:r>
          </w:p>
        </w:tc>
        <w:tc>
          <w:tcPr>
            <w:tcW w:w="3879"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原料购进是否建立并落实索证索票制度。（化妆品原料索证索票应包括：</w:t>
            </w:r>
            <w:r>
              <w:rPr>
                <w:rFonts w:ascii="宋体" w:hAnsi="宋体" w:cs="宋体"/>
                <w:sz w:val="18"/>
                <w:szCs w:val="18"/>
              </w:rPr>
              <w:t>1</w:t>
            </w:r>
            <w:r>
              <w:rPr>
                <w:rFonts w:hint="eastAsia" w:ascii="宋体" w:hAnsi="宋体" w:cs="宋体"/>
                <w:sz w:val="18"/>
                <w:szCs w:val="18"/>
              </w:rPr>
              <w:t>、供应商（制造商、贸易商）资质证照（营业执照、税务登记证、组织机构代码证等）；</w:t>
            </w:r>
            <w:r>
              <w:rPr>
                <w:rFonts w:ascii="宋体" w:hAnsi="宋体" w:cs="宋体"/>
                <w:sz w:val="18"/>
                <w:szCs w:val="18"/>
              </w:rPr>
              <w:t>2</w:t>
            </w:r>
            <w:r>
              <w:rPr>
                <w:rFonts w:hint="eastAsia" w:ascii="宋体" w:hAnsi="宋体" w:cs="宋体"/>
                <w:sz w:val="18"/>
                <w:szCs w:val="18"/>
              </w:rPr>
              <w:t>、合同</w:t>
            </w:r>
            <w:r>
              <w:rPr>
                <w:rFonts w:ascii="宋体" w:hAnsi="宋体" w:cs="宋体"/>
                <w:sz w:val="18"/>
                <w:szCs w:val="18"/>
              </w:rPr>
              <w:t>/</w:t>
            </w:r>
            <w:r>
              <w:rPr>
                <w:rFonts w:hint="eastAsia" w:ascii="宋体" w:hAnsi="宋体" w:cs="宋体"/>
                <w:sz w:val="18"/>
                <w:szCs w:val="18"/>
              </w:rPr>
              <w:t>订单或发票；</w:t>
            </w:r>
            <w:r>
              <w:rPr>
                <w:rFonts w:ascii="宋体" w:hAnsi="宋体" w:cs="宋体"/>
                <w:sz w:val="18"/>
                <w:szCs w:val="18"/>
              </w:rPr>
              <w:t>3</w:t>
            </w:r>
            <w:r>
              <w:rPr>
                <w:rFonts w:hint="eastAsia" w:ascii="宋体" w:hAnsi="宋体" w:cs="宋体"/>
                <w:sz w:val="18"/>
                <w:szCs w:val="18"/>
              </w:rPr>
              <w:t>、原料出厂检验报告（</w:t>
            </w:r>
            <w:r>
              <w:rPr>
                <w:rFonts w:ascii="宋体" w:hAnsi="宋体" w:cs="宋体"/>
                <w:sz w:val="18"/>
                <w:szCs w:val="18"/>
              </w:rPr>
              <w:t>COA</w:t>
            </w:r>
            <w:r>
              <w:rPr>
                <w:rFonts w:hint="eastAsia" w:ascii="宋体" w:hAnsi="宋体" w:cs="宋体"/>
                <w:sz w:val="18"/>
                <w:szCs w:val="18"/>
              </w:rPr>
              <w:t>）；</w:t>
            </w:r>
            <w:r>
              <w:rPr>
                <w:rFonts w:ascii="宋体" w:hAnsi="宋体" w:cs="宋体"/>
                <w:sz w:val="18"/>
                <w:szCs w:val="18"/>
              </w:rPr>
              <w:t>4</w:t>
            </w:r>
            <w:r>
              <w:rPr>
                <w:rFonts w:hint="eastAsia" w:ascii="宋体" w:hAnsi="宋体" w:cs="宋体"/>
                <w:sz w:val="18"/>
                <w:szCs w:val="18"/>
              </w:rPr>
              <w:t>、进口原料还应提供进口报关单</w:t>
            </w:r>
            <w:r>
              <w:rPr>
                <w:rFonts w:ascii="宋体" w:hAnsi="宋体" w:cs="宋体"/>
                <w:sz w:val="18"/>
                <w:szCs w:val="18"/>
              </w:rPr>
              <w:t>/</w:t>
            </w:r>
            <w:r>
              <w:rPr>
                <w:rFonts w:hint="eastAsia" w:ascii="宋体" w:hAnsi="宋体" w:cs="宋体"/>
                <w:sz w:val="18"/>
                <w:szCs w:val="18"/>
              </w:rPr>
              <w:t>商检报告。）</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35</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原辅料、成品、包材是否有品名〔</w:t>
            </w:r>
            <w:r>
              <w:rPr>
                <w:rFonts w:ascii="宋体" w:hAnsi="宋体" w:cs="宋体"/>
                <w:sz w:val="18"/>
                <w:szCs w:val="18"/>
              </w:rPr>
              <w:t>INCI</w:t>
            </w:r>
            <w:r>
              <w:rPr>
                <w:rFonts w:hint="eastAsia" w:ascii="宋体" w:hAnsi="宋体" w:cs="宋体"/>
                <w:sz w:val="18"/>
                <w:szCs w:val="18"/>
              </w:rPr>
              <w:t>名（如有必须标注）或中文化学名称〕、供应商名称、规格、批号或生产日期和有效期、入库日期等中文标识或信息；原料名称用代号或编码标识的，必须有相应的</w:t>
            </w:r>
            <w:r>
              <w:rPr>
                <w:rFonts w:ascii="宋体" w:hAnsi="宋体" w:cs="宋体"/>
                <w:sz w:val="18"/>
                <w:szCs w:val="18"/>
              </w:rPr>
              <w:t>INCI</w:t>
            </w:r>
            <w:r>
              <w:rPr>
                <w:rFonts w:hint="eastAsia" w:ascii="宋体" w:hAnsi="宋体" w:cs="宋体"/>
                <w:sz w:val="18"/>
                <w:szCs w:val="18"/>
              </w:rPr>
              <w:t>名（如有必须标注）或中文化学名称，库存原料标识内容是否完整，有无建立原料进出库账、卡。</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36</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（*）不合格的原料是否按有关规定及时处理并有处理记录。</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方正小标宋简体" w:eastAsia="方正小标宋简体"/>
              </w:rPr>
            </w:pPr>
            <w:r>
              <w:rPr>
                <w:rFonts w:hint="eastAsia" w:ascii="黑体" w:hAnsi="黑体" w:eastAsia="黑体" w:cs="宋体"/>
                <w:b/>
                <w:szCs w:val="21"/>
              </w:rPr>
              <w:t>（六）仓储管理</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37</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原料、包材、半成品和成品是否按待检、合格、不合格、退货等分区存放并有明显标志，如采用计算机控制系统，应能确保不合格产品不放行；储存环境是否符合要求。</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38</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（*）不合格产品及退货产品是否及时处理并有完整的记录。</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39</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易燃、易爆品和有毒化学品是否单独存放。使用记录是否完整。</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40</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hAnsi="宋体" w:cs="宋体"/>
                <w:sz w:val="18"/>
                <w:szCs w:val="18"/>
              </w:rPr>
            </w:pPr>
            <w:r>
              <w:rPr>
                <w:rFonts w:hint="eastAsia" w:ascii="宋体" w:hAnsi="宋体" w:cs="宋体"/>
                <w:sz w:val="18"/>
                <w:szCs w:val="18"/>
              </w:rPr>
              <w:t>（*）仓库中是否发现禁用原料。</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446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left"/>
              <w:textAlignment w:val="auto"/>
              <w:outlineLvl w:val="9"/>
              <w:rPr>
                <w:rFonts w:ascii="黑体" w:hAnsi="黑体" w:eastAsia="黑体"/>
                <w:b/>
              </w:rPr>
            </w:pPr>
            <w:r>
              <w:rPr>
                <w:rFonts w:hint="eastAsia" w:ascii="黑体" w:hAnsi="黑体" w:eastAsia="黑体"/>
                <w:b/>
              </w:rPr>
              <w:t>（七）标签标示管理</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hAnsi="宋体" w:cs="宋体"/>
                <w:sz w:val="18"/>
                <w:szCs w:val="18"/>
              </w:rPr>
            </w:pP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41</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是否建立健全和落实包装材料、产品标签标识管理制度。</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42</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color w:val="FF0000"/>
                <w:sz w:val="18"/>
                <w:szCs w:val="18"/>
              </w:rPr>
            </w:pPr>
            <w:r>
              <w:rPr>
                <w:rFonts w:hint="eastAsia" w:ascii="宋体" w:hAnsi="宋体" w:cs="宋体"/>
                <w:sz w:val="18"/>
                <w:szCs w:val="18"/>
              </w:rPr>
              <w:t>产品标签、标识、说明书是否符合规定。</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r>
              <w:rPr>
                <w:rFonts w:hint="eastAsia" w:ascii="方正小标宋简体" w:eastAsia="方正小标宋简体"/>
              </w:rPr>
              <w:t>43</w:t>
            </w:r>
          </w:p>
        </w:tc>
        <w:tc>
          <w:tcPr>
            <w:tcW w:w="3879"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非特殊用途化妆品包装、标签内容是否与网上备案信息一致。</w:t>
            </w:r>
          </w:p>
        </w:tc>
        <w:tc>
          <w:tcPr>
            <w:tcW w:w="137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查阅资料</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宋体" w:cs="宋体"/>
                <w:sz w:val="18"/>
                <w:szCs w:val="18"/>
              </w:rPr>
            </w:pPr>
            <w:r>
              <w:rPr>
                <w:rFonts w:hint="eastAsia" w:ascii="宋体" w:hAnsi="宋体" w:cs="宋体"/>
                <w:sz w:val="18"/>
                <w:szCs w:val="18"/>
              </w:rPr>
              <w:t>现场检查</w:t>
            </w:r>
          </w:p>
        </w:tc>
        <w:tc>
          <w:tcPr>
            <w:tcW w:w="1748"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textAlignment w:val="auto"/>
              <w:outlineLvl w:val="9"/>
              <w:rPr>
                <w:rFonts w:ascii="宋体" w:cs="宋体"/>
                <w:sz w:val="18"/>
                <w:szCs w:val="18"/>
              </w:rPr>
            </w:pPr>
            <w:r>
              <w:rPr>
                <w:rFonts w:hint="eastAsia" w:ascii="宋体" w:hAnsi="宋体" w:cs="宋体"/>
                <w:sz w:val="18"/>
                <w:szCs w:val="18"/>
              </w:rPr>
              <w:t>□合格</w:t>
            </w:r>
            <w:r>
              <w:rPr>
                <w:rFonts w:ascii="宋体" w:hAnsi="宋体" w:cs="宋体"/>
                <w:sz w:val="18"/>
                <w:szCs w:val="18"/>
              </w:rPr>
              <w:t xml:space="preserve">  </w:t>
            </w:r>
            <w:r>
              <w:rPr>
                <w:rFonts w:hint="eastAsia" w:ascii="宋体" w:hAnsi="宋体" w:cs="宋体"/>
                <w:sz w:val="18"/>
                <w:szCs w:val="18"/>
              </w:rPr>
              <w:t>□不合格</w:t>
            </w:r>
          </w:p>
        </w:tc>
        <w:tc>
          <w:tcPr>
            <w:tcW w:w="2718"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c>
          <w:tcPr>
            <w:tcW w:w="3035" w:type="dxa"/>
            <w:vAlign w:val="top"/>
          </w:tcPr>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0" w:firstLineChars="0"/>
              <w:jc w:val="center"/>
              <w:textAlignment w:val="auto"/>
              <w:outlineLvl w:val="9"/>
              <w:rPr>
                <w:rFonts w:ascii="方正小标宋简体" w:eastAsia="方正小标宋简体"/>
              </w:rPr>
            </w:pPr>
          </w:p>
        </w:tc>
      </w:tr>
    </w:tbl>
    <w:p>
      <w:pPr>
        <w:jc w:val="left"/>
        <w:rPr>
          <w:rFonts w:hint="eastAsia" w:ascii="方正小标宋简体" w:eastAsia="方正小标宋简体"/>
        </w:rPr>
      </w:pPr>
      <w:r>
        <w:rPr>
          <w:rFonts w:hint="eastAsia" w:ascii="方正小标宋简体" w:eastAsia="方正小标宋简体"/>
        </w:rPr>
        <w:t xml:space="preserve">本检查表包括7个方面，检查项共43项，包括关键项（*）10项。经查阅资料和现场检查，该企业不合格项目共     项，其中关键项    项。  </w:t>
      </w:r>
    </w:p>
    <w:p>
      <w:pPr>
        <w:jc w:val="left"/>
        <w:rPr>
          <w:rFonts w:ascii="方正小标宋简体" w:eastAsia="方正小标宋简体"/>
        </w:rPr>
        <w:sectPr>
          <w:footerReference r:id="rId4" w:type="default"/>
          <w:footerReference r:id="rId5" w:type="even"/>
          <w:pgSz w:w="16838" w:h="11906" w:orient="landscape"/>
          <w:pgMar w:top="1531" w:right="1814" w:bottom="1531" w:left="1985" w:header="720" w:footer="1134" w:gutter="0"/>
          <w:pgNumType w:fmt="numberInDash"/>
          <w:cols w:space="720" w:num="1"/>
          <w:rtlGutter w:val="0"/>
          <w:docGrid w:type="linesAndChars" w:linePitch="312" w:charSpace="0"/>
        </w:sectPr>
      </w:pPr>
      <w:r>
        <w:rPr>
          <w:rFonts w:hint="eastAsia" w:ascii="方正小标宋简体" w:eastAsia="方正小标宋简体"/>
        </w:rPr>
        <w:t>检查员：                                                                         检查日期：</w:t>
      </w:r>
    </w:p>
    <w:p>
      <w:pPr>
        <w:widowControl/>
        <w:spacing w:line="560" w:lineRule="exact"/>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3：</w:t>
      </w:r>
    </w:p>
    <w:p>
      <w:pPr>
        <w:widowControl/>
        <w:spacing w:line="560" w:lineRule="exact"/>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现场检查基本程序</w:t>
      </w:r>
    </w:p>
    <w:p>
      <w:pPr>
        <w:widowControl/>
        <w:spacing w:line="560" w:lineRule="exact"/>
        <w:jc w:val="center"/>
        <w:rPr>
          <w:rFonts w:hint="eastAsia" w:ascii="宋体" w:hAnsi="宋体" w:eastAsia="宋体" w:cs="宋体"/>
          <w:b/>
          <w:bCs/>
          <w:color w:val="auto"/>
          <w:sz w:val="36"/>
          <w:szCs w:val="36"/>
          <w:lang w:val="en-US" w:eastAsia="zh-CN"/>
        </w:rPr>
      </w:pP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检查组组成</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85"/>
        <w:jc w:val="left"/>
        <w:textAlignment w:val="auto"/>
        <w:outlineLvl w:val="9"/>
        <w:rPr>
          <w:rFonts w:hint="eastAsia" w:ascii="仿宋" w:hAnsi="仿宋" w:eastAsia="仿宋" w:cs="仿宋"/>
          <w:color w:val="auto"/>
          <w:kern w:val="0"/>
          <w:sz w:val="32"/>
          <w:szCs w:val="32"/>
        </w:rPr>
      </w:pPr>
      <w:r>
        <w:rPr>
          <w:rFonts w:hint="eastAsia" w:ascii="仿宋" w:hAnsi="仿宋" w:eastAsia="仿宋" w:cs="仿宋"/>
          <w:color w:val="auto"/>
          <w:sz w:val="32"/>
          <w:szCs w:val="32"/>
        </w:rPr>
        <w:t>检查组通常由2名及以上检查员组成，并指定检查组组长负责现场检查工作，检查员应当熟悉相应</w:t>
      </w:r>
      <w:r>
        <w:rPr>
          <w:rFonts w:hint="eastAsia" w:ascii="仿宋" w:hAnsi="仿宋" w:eastAsia="仿宋" w:cs="仿宋"/>
          <w:color w:val="auto"/>
          <w:sz w:val="32"/>
          <w:szCs w:val="32"/>
          <w:lang w:eastAsia="zh-CN"/>
        </w:rPr>
        <w:t>化妆</w:t>
      </w:r>
      <w:r>
        <w:rPr>
          <w:rFonts w:hint="eastAsia" w:ascii="仿宋" w:hAnsi="仿宋" w:eastAsia="仿宋" w:cs="仿宋"/>
          <w:color w:val="auto"/>
          <w:sz w:val="32"/>
          <w:szCs w:val="32"/>
        </w:rPr>
        <w:t>品法律法规，具备</w:t>
      </w:r>
      <w:r>
        <w:rPr>
          <w:rFonts w:hint="eastAsia" w:ascii="仿宋" w:hAnsi="仿宋" w:eastAsia="仿宋" w:cs="仿宋"/>
          <w:color w:val="auto"/>
          <w:sz w:val="32"/>
          <w:szCs w:val="32"/>
          <w:lang w:eastAsia="zh-CN"/>
        </w:rPr>
        <w:t>化妆</w:t>
      </w:r>
      <w:r>
        <w:rPr>
          <w:rFonts w:hint="eastAsia" w:ascii="仿宋" w:hAnsi="仿宋" w:eastAsia="仿宋" w:cs="仿宋"/>
          <w:color w:val="auto"/>
          <w:sz w:val="32"/>
          <w:szCs w:val="32"/>
        </w:rPr>
        <w:t>品专业知识</w:t>
      </w:r>
      <w:r>
        <w:rPr>
          <w:rFonts w:hint="eastAsia" w:ascii="仿宋" w:hAnsi="仿宋" w:eastAsia="仿宋" w:cs="仿宋"/>
          <w:color w:val="auto"/>
          <w:kern w:val="0"/>
          <w:sz w:val="32"/>
          <w:szCs w:val="32"/>
        </w:rPr>
        <w:t>。</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二、检查准备</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检查组在开展现场检查前，应结合企业实际，确定检查时间，制定检查方案。</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三、现场检查程序</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（一）</w:t>
      </w:r>
      <w:r>
        <w:rPr>
          <w:rFonts w:hint="eastAsia" w:ascii="楷体" w:hAnsi="楷体" w:eastAsia="楷体" w:cs="楷体"/>
          <w:b/>
          <w:bCs/>
          <w:color w:val="auto"/>
          <w:sz w:val="32"/>
          <w:szCs w:val="32"/>
        </w:rPr>
        <w:t>检查通知</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检查组</w:t>
      </w:r>
      <w:r>
        <w:rPr>
          <w:rFonts w:hint="eastAsia" w:ascii="仿宋" w:hAnsi="仿宋" w:eastAsia="仿宋" w:cs="仿宋"/>
          <w:color w:val="auto"/>
          <w:sz w:val="32"/>
          <w:szCs w:val="32"/>
        </w:rPr>
        <w:t>可提前通知</w:t>
      </w:r>
      <w:r>
        <w:rPr>
          <w:rFonts w:hint="eastAsia" w:ascii="仿宋" w:hAnsi="仿宋" w:eastAsia="仿宋" w:cs="仿宋"/>
          <w:color w:val="auto"/>
          <w:sz w:val="32"/>
          <w:szCs w:val="32"/>
          <w:lang w:eastAsia="zh-CN"/>
        </w:rPr>
        <w:t>化妆品生产企业</w:t>
      </w:r>
      <w:r>
        <w:rPr>
          <w:rFonts w:hint="eastAsia" w:ascii="仿宋" w:hAnsi="仿宋" w:eastAsia="仿宋" w:cs="仿宋"/>
          <w:color w:val="auto"/>
          <w:sz w:val="32"/>
          <w:szCs w:val="32"/>
        </w:rPr>
        <w:t>检查事项，告知其文件准备等相关要求。但对于有因检查</w:t>
      </w:r>
      <w:r>
        <w:rPr>
          <w:rFonts w:hint="eastAsia" w:ascii="仿宋" w:hAnsi="仿宋" w:eastAsia="仿宋" w:cs="仿宋"/>
          <w:color w:val="auto"/>
          <w:sz w:val="32"/>
          <w:szCs w:val="32"/>
          <w:lang w:eastAsia="zh-CN"/>
        </w:rPr>
        <w:t>、飞行检查</w:t>
      </w:r>
      <w:r>
        <w:rPr>
          <w:rFonts w:hint="eastAsia" w:ascii="仿宋" w:hAnsi="仿宋" w:eastAsia="仿宋" w:cs="仿宋"/>
          <w:color w:val="auto"/>
          <w:sz w:val="32"/>
          <w:szCs w:val="32"/>
        </w:rPr>
        <w:t>事先不得</w:t>
      </w:r>
      <w:r>
        <w:rPr>
          <w:rFonts w:hint="eastAsia" w:ascii="仿宋" w:hAnsi="仿宋" w:eastAsia="仿宋" w:cs="仿宋"/>
          <w:color w:val="auto"/>
          <w:sz w:val="32"/>
          <w:szCs w:val="32"/>
          <w:lang w:eastAsia="zh-CN"/>
        </w:rPr>
        <w:t>提前</w:t>
      </w:r>
      <w:r>
        <w:rPr>
          <w:rFonts w:hint="eastAsia" w:ascii="仿宋" w:hAnsi="仿宋" w:eastAsia="仿宋" w:cs="仿宋"/>
          <w:color w:val="auto"/>
          <w:sz w:val="32"/>
          <w:szCs w:val="32"/>
        </w:rPr>
        <w:t>告知。</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（二）</w:t>
      </w:r>
      <w:r>
        <w:rPr>
          <w:rFonts w:hint="eastAsia" w:ascii="楷体" w:hAnsi="楷体" w:eastAsia="楷体" w:cs="楷体"/>
          <w:b/>
          <w:bCs/>
          <w:color w:val="auto"/>
          <w:sz w:val="32"/>
          <w:szCs w:val="32"/>
        </w:rPr>
        <w:t>首次会议</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检查组到达现场检查后，召开首次会议。首次会议由检查组组长主持，检查组出示证明文件。</w:t>
      </w:r>
      <w:r>
        <w:rPr>
          <w:rFonts w:hint="eastAsia" w:ascii="仿宋" w:hAnsi="仿宋" w:eastAsia="仿宋" w:cs="仿宋"/>
          <w:color w:val="auto"/>
          <w:sz w:val="32"/>
          <w:szCs w:val="32"/>
          <w:lang w:eastAsia="zh-CN"/>
        </w:rPr>
        <w:t>化妆品生产企业</w:t>
      </w:r>
      <w:r>
        <w:rPr>
          <w:rFonts w:hint="eastAsia" w:ascii="仿宋" w:hAnsi="仿宋" w:eastAsia="仿宋" w:cs="仿宋"/>
          <w:color w:val="auto"/>
          <w:sz w:val="32"/>
          <w:szCs w:val="32"/>
        </w:rPr>
        <w:t>主要管理人员参与会议并就</w:t>
      </w:r>
      <w:r>
        <w:rPr>
          <w:rFonts w:hint="eastAsia" w:ascii="仿宋" w:hAnsi="仿宋" w:eastAsia="仿宋" w:cs="仿宋"/>
          <w:color w:val="auto"/>
          <w:sz w:val="32"/>
          <w:szCs w:val="32"/>
          <w:lang w:eastAsia="zh-CN"/>
        </w:rPr>
        <w:t>企业</w:t>
      </w:r>
      <w:r>
        <w:rPr>
          <w:rFonts w:hint="eastAsia" w:ascii="仿宋" w:hAnsi="仿宋" w:eastAsia="仿宋" w:cs="仿宋"/>
          <w:color w:val="auto"/>
          <w:sz w:val="32"/>
          <w:szCs w:val="32"/>
        </w:rPr>
        <w:t>基本情况、质量管理体系、委托生产与经营、</w:t>
      </w:r>
      <w:r>
        <w:rPr>
          <w:rFonts w:hint="eastAsia" w:ascii="仿宋" w:hAnsi="仿宋" w:eastAsia="仿宋" w:cs="仿宋"/>
          <w:color w:val="auto"/>
          <w:sz w:val="32"/>
          <w:szCs w:val="32"/>
          <w:lang w:eastAsia="zh-CN"/>
        </w:rPr>
        <w:t>化妆</w:t>
      </w:r>
      <w:r>
        <w:rPr>
          <w:rFonts w:hint="eastAsia" w:ascii="仿宋" w:hAnsi="仿宋" w:eastAsia="仿宋" w:cs="仿宋"/>
          <w:color w:val="auto"/>
          <w:sz w:val="32"/>
          <w:szCs w:val="32"/>
        </w:rPr>
        <w:t>品质量情况等进行介绍。</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（三）</w:t>
      </w:r>
      <w:r>
        <w:rPr>
          <w:rFonts w:hint="eastAsia" w:ascii="楷体" w:hAnsi="楷体" w:eastAsia="楷体" w:cs="楷体"/>
          <w:b/>
          <w:bCs/>
          <w:color w:val="auto"/>
          <w:sz w:val="32"/>
          <w:szCs w:val="32"/>
        </w:rPr>
        <w:t>现场检查</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32" w:firstLineChars="2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现场检查应基于科学、公平、公正的原则，围绕检查要点，通过现场观察、面谈、提问、查阅文件等方式进行检查，现场检查所涉及的内容应及时记录，根据实际情况，检查组可采取收集、复印、录音、摄像等方式进行现场取证。</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楷体" w:hAnsi="楷体" w:eastAsia="楷体" w:cs="楷体"/>
          <w:b/>
          <w:bCs/>
          <w:color w:val="auto"/>
          <w:sz w:val="32"/>
          <w:szCs w:val="32"/>
        </w:rPr>
      </w:pPr>
      <w:r>
        <w:rPr>
          <w:rFonts w:hint="eastAsia" w:ascii="仿宋" w:hAnsi="仿宋" w:eastAsia="仿宋" w:cs="仿宋"/>
          <w:color w:val="auto"/>
          <w:sz w:val="32"/>
          <w:szCs w:val="32"/>
          <w:lang w:val="en-US" w:eastAsia="zh-CN"/>
        </w:rPr>
        <w:t xml:space="preserve">    </w:t>
      </w:r>
      <w:r>
        <w:rPr>
          <w:rFonts w:hint="eastAsia" w:ascii="楷体" w:hAnsi="楷体" w:eastAsia="楷体" w:cs="楷体"/>
          <w:b/>
          <w:bCs/>
          <w:color w:val="auto"/>
          <w:sz w:val="32"/>
          <w:szCs w:val="32"/>
          <w:lang w:val="en-US" w:eastAsia="zh-CN"/>
        </w:rPr>
        <w:t>（四）</w:t>
      </w:r>
      <w:r>
        <w:rPr>
          <w:rFonts w:hint="eastAsia" w:ascii="楷体" w:hAnsi="楷体" w:eastAsia="楷体" w:cs="楷体"/>
          <w:b/>
          <w:bCs/>
          <w:color w:val="auto"/>
          <w:sz w:val="32"/>
          <w:szCs w:val="32"/>
        </w:rPr>
        <w:t>检查报告</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现场检查工作结束时，由检查组组长组织进行内部讨论、评估检查情况，组织撰写检查报告。</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楷体" w:hAnsi="楷体" w:eastAsia="楷体" w:cs="楷体"/>
          <w:b/>
          <w:bCs/>
          <w:color w:val="auto"/>
          <w:sz w:val="32"/>
          <w:szCs w:val="32"/>
        </w:rPr>
      </w:pP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lang w:eastAsia="zh-CN"/>
        </w:rPr>
        <w:t>（五）</w:t>
      </w:r>
      <w:r>
        <w:rPr>
          <w:rFonts w:hint="eastAsia" w:ascii="楷体" w:hAnsi="楷体" w:eastAsia="楷体" w:cs="楷体"/>
          <w:b/>
          <w:bCs/>
          <w:color w:val="auto"/>
          <w:sz w:val="32"/>
          <w:szCs w:val="32"/>
        </w:rPr>
        <w:t>末次会议</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 xml:space="preserve">    现场检查结束时，召开末次会议。末次会议由检查组组长主持，</w:t>
      </w:r>
      <w:r>
        <w:rPr>
          <w:rFonts w:hint="eastAsia" w:ascii="仿宋" w:hAnsi="仿宋" w:eastAsia="仿宋" w:cs="仿宋"/>
          <w:color w:val="auto"/>
          <w:sz w:val="32"/>
          <w:szCs w:val="32"/>
          <w:lang w:eastAsia="zh-CN"/>
        </w:rPr>
        <w:t>化妆品生产企业</w:t>
      </w:r>
      <w:r>
        <w:rPr>
          <w:rFonts w:hint="eastAsia" w:ascii="仿宋" w:hAnsi="仿宋" w:eastAsia="仿宋" w:cs="仿宋"/>
          <w:color w:val="auto"/>
          <w:sz w:val="32"/>
          <w:szCs w:val="32"/>
        </w:rPr>
        <w:t>主要管理人员参与会议，检查组告知</w:t>
      </w:r>
      <w:r>
        <w:rPr>
          <w:rFonts w:hint="eastAsia" w:ascii="仿宋" w:hAnsi="仿宋" w:eastAsia="仿宋" w:cs="仿宋"/>
          <w:color w:val="auto"/>
          <w:sz w:val="32"/>
          <w:szCs w:val="32"/>
          <w:lang w:eastAsia="zh-CN"/>
        </w:rPr>
        <w:t>企业</w:t>
      </w:r>
      <w:r>
        <w:rPr>
          <w:rFonts w:hint="eastAsia" w:ascii="仿宋" w:hAnsi="仿宋" w:eastAsia="仿宋" w:cs="仿宋"/>
          <w:color w:val="auto"/>
          <w:sz w:val="32"/>
          <w:szCs w:val="32"/>
        </w:rPr>
        <w:t>本次检查基本情况、发现的问题、后续整改要求及可能采取的措施。</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lang w:val="en-US" w:eastAsia="zh-CN"/>
        </w:rPr>
        <w:t xml:space="preserve">    </w:t>
      </w:r>
      <w:r>
        <w:rPr>
          <w:rFonts w:hint="eastAsia" w:ascii="黑体" w:hAnsi="黑体" w:eastAsia="黑体" w:cs="黑体"/>
          <w:color w:val="auto"/>
          <w:sz w:val="32"/>
          <w:szCs w:val="32"/>
          <w:lang w:val="en-US" w:eastAsia="zh-CN"/>
        </w:rPr>
        <w:t>四、化妆品生产企业整改</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对检查中发现的缺陷项，企业</w:t>
      </w:r>
      <w:r>
        <w:rPr>
          <w:rFonts w:hint="eastAsia" w:ascii="仿宋" w:hAnsi="仿宋" w:eastAsia="仿宋" w:cs="仿宋"/>
          <w:color w:val="auto"/>
          <w:sz w:val="32"/>
          <w:szCs w:val="32"/>
          <w:lang w:eastAsia="zh-CN"/>
        </w:rPr>
        <w:t>应当</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检查组要求，</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局化妆品监管处</w:t>
      </w:r>
      <w:r>
        <w:rPr>
          <w:rFonts w:hint="eastAsia" w:ascii="仿宋" w:hAnsi="仿宋" w:eastAsia="仿宋" w:cs="仿宋"/>
          <w:color w:val="auto"/>
          <w:sz w:val="32"/>
          <w:szCs w:val="32"/>
        </w:rPr>
        <w:t>提交整改报告。</w:t>
      </w:r>
    </w:p>
    <w:p>
      <w:pPr>
        <w:keepNext w:val="0"/>
        <w:keepLines w:val="0"/>
        <w:pageBreakBefore w:val="0"/>
        <w:numPr>
          <w:ilvl w:val="0"/>
          <w:numId w:val="0"/>
        </w:numPr>
        <w:kinsoku/>
        <w:wordWrap/>
        <w:overflowPunct/>
        <w:topLinePunct w:val="0"/>
        <w:autoSpaceDE/>
        <w:autoSpaceDN/>
        <w:bidi w:val="0"/>
        <w:adjustRightInd/>
        <w:snapToGrid/>
        <w:spacing w:beforeLines="0" w:afterLines="0" w:line="560" w:lineRule="exact"/>
        <w:ind w:left="0" w:leftChars="0" w:right="0" w:right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五、检查结果与处理</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00"/>
        <w:jc w:val="left"/>
        <w:textAlignment w:val="auto"/>
        <w:outlineLvl w:val="9"/>
        <w:rPr>
          <w:rFonts w:hint="eastAsia" w:ascii="仿宋" w:hAnsi="仿宋" w:eastAsia="仿宋" w:cs="仿宋"/>
          <w:bCs/>
          <w:color w:val="auto"/>
          <w:sz w:val="32"/>
          <w:szCs w:val="32"/>
        </w:rPr>
      </w:pPr>
      <w:r>
        <w:rPr>
          <w:rFonts w:hint="eastAsia" w:ascii="仿宋" w:hAnsi="仿宋" w:eastAsia="仿宋" w:cs="仿宋"/>
          <w:color w:val="auto"/>
          <w:sz w:val="32"/>
          <w:szCs w:val="32"/>
          <w:lang w:eastAsia="zh-CN"/>
        </w:rPr>
        <w:t>检查组</w:t>
      </w:r>
      <w:r>
        <w:rPr>
          <w:rFonts w:hint="eastAsia" w:ascii="仿宋" w:hAnsi="仿宋" w:eastAsia="仿宋" w:cs="仿宋"/>
          <w:color w:val="auto"/>
          <w:sz w:val="32"/>
          <w:szCs w:val="32"/>
        </w:rPr>
        <w:t>根据现场检查情况，对</w:t>
      </w:r>
      <w:r>
        <w:rPr>
          <w:rFonts w:hint="eastAsia" w:ascii="仿宋" w:hAnsi="仿宋" w:eastAsia="仿宋" w:cs="仿宋"/>
          <w:color w:val="auto"/>
          <w:sz w:val="32"/>
          <w:szCs w:val="32"/>
          <w:lang w:eastAsia="zh-CN"/>
        </w:rPr>
        <w:t>企业</w:t>
      </w:r>
      <w:r>
        <w:rPr>
          <w:rFonts w:hint="eastAsia" w:ascii="仿宋" w:hAnsi="仿宋" w:eastAsia="仿宋" w:cs="仿宋"/>
          <w:color w:val="auto"/>
          <w:sz w:val="32"/>
          <w:szCs w:val="32"/>
        </w:rPr>
        <w:t>整改报告进行审核，得出检查结论。</w:t>
      </w:r>
      <w:r>
        <w:rPr>
          <w:rFonts w:hint="eastAsia" w:ascii="仿宋" w:hAnsi="仿宋" w:eastAsia="仿宋" w:cs="仿宋"/>
          <w:bCs/>
          <w:color w:val="auto"/>
          <w:sz w:val="32"/>
          <w:szCs w:val="32"/>
        </w:rPr>
        <w:t>必要时，</w:t>
      </w:r>
      <w:r>
        <w:rPr>
          <w:rFonts w:hint="eastAsia" w:ascii="仿宋" w:hAnsi="仿宋" w:eastAsia="仿宋" w:cs="仿宋"/>
          <w:bCs/>
          <w:color w:val="auto"/>
          <w:sz w:val="32"/>
          <w:szCs w:val="32"/>
          <w:lang w:eastAsia="zh-CN"/>
        </w:rPr>
        <w:t>可</w:t>
      </w:r>
      <w:r>
        <w:rPr>
          <w:rFonts w:hint="eastAsia" w:ascii="仿宋" w:hAnsi="仿宋" w:eastAsia="仿宋" w:cs="仿宋"/>
          <w:bCs/>
          <w:color w:val="auto"/>
          <w:sz w:val="32"/>
          <w:szCs w:val="32"/>
        </w:rPr>
        <w:t>对企业整改完成情况进行现场复查。</w:t>
      </w:r>
      <w:r>
        <w:rPr>
          <w:rFonts w:hint="eastAsia" w:ascii="仿宋" w:hAnsi="仿宋" w:eastAsia="仿宋" w:cs="仿宋"/>
          <w:color w:val="auto"/>
          <w:sz w:val="32"/>
          <w:szCs w:val="32"/>
        </w:rPr>
        <w:t>对于检查发现</w:t>
      </w:r>
      <w:r>
        <w:rPr>
          <w:rFonts w:hint="eastAsia" w:ascii="仿宋" w:hAnsi="仿宋" w:eastAsia="仿宋" w:cs="仿宋"/>
          <w:bCs/>
          <w:color w:val="auto"/>
          <w:sz w:val="32"/>
          <w:szCs w:val="32"/>
          <w:lang w:eastAsia="zh-CN"/>
        </w:rPr>
        <w:t>化妆</w:t>
      </w:r>
      <w:r>
        <w:rPr>
          <w:rFonts w:hint="eastAsia" w:ascii="仿宋" w:hAnsi="仿宋" w:eastAsia="仿宋" w:cs="仿宋"/>
          <w:bCs/>
          <w:color w:val="auto"/>
          <w:sz w:val="32"/>
          <w:szCs w:val="32"/>
        </w:rPr>
        <w:t>品存在质量问题或者其他安全隐患的，检查过程中或结束后应立即采取适当措施，先行控制风险。</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600"/>
        <w:jc w:val="lef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对未按期提交整改报告或整改后仍可能存在安全隐患的，</w:t>
      </w:r>
      <w:r>
        <w:rPr>
          <w:rFonts w:hint="eastAsia" w:ascii="仿宋" w:hAnsi="仿宋" w:eastAsia="仿宋" w:cs="仿宋"/>
          <w:color w:val="auto"/>
          <w:sz w:val="32"/>
          <w:szCs w:val="32"/>
          <w:lang w:eastAsia="zh-CN"/>
        </w:rPr>
        <w:t>局化妆品监管处</w:t>
      </w:r>
      <w:r>
        <w:rPr>
          <w:rFonts w:hint="eastAsia" w:ascii="仿宋" w:hAnsi="仿宋" w:eastAsia="仿宋" w:cs="仿宋"/>
          <w:color w:val="auto"/>
          <w:sz w:val="32"/>
          <w:szCs w:val="32"/>
        </w:rPr>
        <w:t>根据检查情况，应当采取告诫、约谈、限期整改以及暂停生产、销售、使用等措施，并及时公布检查处理结果。</w:t>
      </w:r>
    </w:p>
    <w:p>
      <w:pPr>
        <w:keepNext w:val="0"/>
        <w:keepLines w:val="0"/>
        <w:pageBreakBefore w:val="0"/>
        <w:kinsoku/>
        <w:wordWrap/>
        <w:overflowPunct/>
        <w:topLinePunct w:val="0"/>
        <w:autoSpaceDE/>
        <w:autoSpaceDN/>
        <w:bidi w:val="0"/>
        <w:adjustRightInd/>
        <w:snapToGrid/>
        <w:spacing w:beforeLines="0" w:afterLines="0" w:line="560" w:lineRule="exact"/>
        <w:ind w:left="0" w:leftChars="0" w:right="0" w:rightChars="0" w:firstLine="0"/>
        <w:jc w:val="left"/>
        <w:textAlignment w:val="auto"/>
        <w:outlineLvl w:val="9"/>
        <w:rPr>
          <w:rFonts w:hint="eastAsia" w:ascii="仿宋" w:hAnsi="仿宋" w:eastAsia="仿宋" w:cs="仿宋"/>
          <w:color w:val="auto"/>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rPr>
        <w:rFonts w:hint="eastAsia" w:ascii="方正仿宋_GBK" w:eastAsia="方正仿宋_GBK"/>
        <w:b/>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4"/>
                              <w:rFonts w:hint="eastAsia" w:ascii="方正仿宋_GBK" w:eastAsia="方正仿宋_GBK"/>
                              <w:sz w:val="28"/>
                              <w:szCs w:val="28"/>
                            </w:rPr>
                          </w:pPr>
                          <w:r>
                            <w:rPr>
                              <w:rFonts w:hint="eastAsia" w:ascii="方正仿宋_GBK" w:eastAsia="方正仿宋_GBK"/>
                              <w:sz w:val="28"/>
                              <w:szCs w:val="28"/>
                            </w:rPr>
                            <w:fldChar w:fldCharType="begin"/>
                          </w:r>
                          <w:r>
                            <w:rPr>
                              <w:rStyle w:val="4"/>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4"/>
                              <w:rFonts w:ascii="方正仿宋_GBK" w:eastAsia="方正仿宋_GBK"/>
                              <w:sz w:val="28"/>
                              <w:szCs w:val="28"/>
                            </w:rPr>
                            <w:t>1</w:t>
                          </w:r>
                          <w:r>
                            <w:rPr>
                              <w:rFonts w:hint="eastAsia" w:ascii="方正仿宋_GBK" w:eastAsia="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v:imagedata o:title=""/>
              <o:lock v:ext="edit" aspectratio="f"/>
              <v:textbox inset="0mm,0mm,0mm,0mm" style="mso-fit-shape-to-text:t;">
                <w:txbxContent>
                  <w:p>
                    <w:pPr>
                      <w:pStyle w:val="2"/>
                      <w:rPr>
                        <w:rStyle w:val="4"/>
                        <w:rFonts w:hint="eastAsia" w:ascii="方正仿宋_GBK" w:eastAsia="方正仿宋_GBK"/>
                        <w:sz w:val="28"/>
                        <w:szCs w:val="28"/>
                      </w:rPr>
                    </w:pPr>
                    <w:r>
                      <w:rPr>
                        <w:rFonts w:hint="eastAsia" w:ascii="方正仿宋_GBK" w:eastAsia="方正仿宋_GBK"/>
                        <w:sz w:val="28"/>
                        <w:szCs w:val="28"/>
                      </w:rPr>
                      <w:fldChar w:fldCharType="begin"/>
                    </w:r>
                    <w:r>
                      <w:rPr>
                        <w:rStyle w:val="4"/>
                        <w:rFonts w:hint="eastAsia" w:ascii="方正仿宋_GBK" w:eastAsia="方正仿宋_GBK"/>
                        <w:sz w:val="28"/>
                        <w:szCs w:val="28"/>
                      </w:rPr>
                      <w:instrText xml:space="preserve">PAGE  </w:instrText>
                    </w:r>
                    <w:r>
                      <w:rPr>
                        <w:rFonts w:hint="eastAsia" w:ascii="方正仿宋_GBK" w:eastAsia="方正仿宋_GBK"/>
                        <w:sz w:val="28"/>
                        <w:szCs w:val="28"/>
                      </w:rPr>
                      <w:fldChar w:fldCharType="separate"/>
                    </w:r>
                    <w:r>
                      <w:rPr>
                        <w:rStyle w:val="4"/>
                        <w:rFonts w:ascii="方正仿宋_GBK" w:eastAsia="方正仿宋_GBK"/>
                        <w:sz w:val="28"/>
                        <w:szCs w:val="28"/>
                      </w:rPr>
                      <w:t>1</w:t>
                    </w:r>
                    <w:r>
                      <w:rPr>
                        <w:rFonts w:hint="eastAsia" w:ascii="方正仿宋_GBK" w:eastAsia="方正仿宋_GBK"/>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separate"/>
    </w:r>
    <w:r>
      <w:rPr>
        <w:rStyle w:val="4"/>
        <w:lang w:val="en-US" w:eastAsia="zh-CN"/>
      </w:rPr>
      <w:t>2</w:t>
    </w:r>
    <w:r>
      <w:fldChar w:fldCharType="end"/>
    </w:r>
  </w:p>
  <w:p>
    <w:pPr>
      <w:pStyle w:val="2"/>
      <w:ind w:right="360" w:firstLine="360"/>
      <w:jc w:val="center"/>
      <w:rPr>
        <w:rFonts w:hint="eastAsia" w:ascii="方正仿宋_GBK" w:eastAsia="方正仿宋_GBK"/>
        <w:sz w:val="24"/>
        <w:szCs w:val="24"/>
      </w:rPr>
    </w:pPr>
    <w:r>
      <w:rPr>
        <w:rStyle w:val="4"/>
        <w:rFonts w:hint="eastAsia" w:ascii="方正仿宋_GBK" w:eastAsia="方正仿宋_GBK"/>
        <w:sz w:val="24"/>
        <w:szCs w:val="24"/>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2E656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王祺</cp:lastModifiedBy>
  <dcterms:modified xsi:type="dcterms:W3CDTF">2020-04-26T08:55:18Z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